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2" w:rsidRPr="00A94288" w:rsidRDefault="00ED2020" w:rsidP="008F56C6">
      <w:pPr>
        <w:ind w:left="5760"/>
        <w:rPr>
          <w:rFonts w:ascii="Georgia" w:hAnsi="Georgia" w:cs="Times New Roman"/>
          <w:sz w:val="22"/>
          <w:szCs w:val="22"/>
        </w:rPr>
      </w:pPr>
      <w:bookmarkStart w:id="0" w:name="_GoBack"/>
      <w:bookmarkEnd w:id="0"/>
      <w:r w:rsidRPr="00A94288">
        <w:rPr>
          <w:rFonts w:ascii="Georgia" w:hAnsi="Georgia" w:cs="Times New Roman"/>
          <w:sz w:val="22"/>
          <w:szCs w:val="22"/>
        </w:rPr>
        <w:t>Μόναχο</w:t>
      </w:r>
      <w:r w:rsidR="000178F6" w:rsidRPr="00A94288">
        <w:rPr>
          <w:rFonts w:ascii="Georgia" w:hAnsi="Georgia" w:cs="Times New Roman"/>
          <w:sz w:val="22"/>
          <w:szCs w:val="22"/>
        </w:rPr>
        <w:t xml:space="preserve">, </w:t>
      </w:r>
      <w:r w:rsidR="00EF001E" w:rsidRPr="00A94288">
        <w:rPr>
          <w:rFonts w:ascii="Georgia" w:hAnsi="Georgia" w:cs="Times New Roman"/>
          <w:sz w:val="22"/>
          <w:szCs w:val="22"/>
        </w:rPr>
        <w:t xml:space="preserve"> </w:t>
      </w:r>
      <w:r w:rsidR="00551786" w:rsidRPr="00A94288">
        <w:rPr>
          <w:rFonts w:ascii="Georgia" w:hAnsi="Georgia" w:cs="Times New Roman"/>
          <w:sz w:val="22"/>
          <w:szCs w:val="22"/>
        </w:rPr>
        <w:t>Φεβρουάριος 2016</w:t>
      </w:r>
    </w:p>
    <w:p w:rsidR="00D90308" w:rsidRPr="00A94288" w:rsidRDefault="00D90308" w:rsidP="00D90308">
      <w:pPr>
        <w:ind w:left="6840" w:firstLine="360"/>
        <w:rPr>
          <w:rFonts w:ascii="Georgia" w:hAnsi="Georgia"/>
          <w:sz w:val="22"/>
          <w:szCs w:val="22"/>
        </w:rPr>
      </w:pPr>
    </w:p>
    <w:p w:rsidR="008F56C6" w:rsidRDefault="008F56C6" w:rsidP="00A8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iCs/>
          <w:sz w:val="22"/>
          <w:szCs w:val="22"/>
        </w:rPr>
      </w:pPr>
    </w:p>
    <w:p w:rsidR="00A822F2" w:rsidRDefault="00ED2020" w:rsidP="00A8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iCs/>
          <w:sz w:val="22"/>
          <w:szCs w:val="22"/>
        </w:rPr>
      </w:pPr>
      <w:r w:rsidRPr="00A94288">
        <w:rPr>
          <w:rFonts w:ascii="Georgia" w:hAnsi="Georgia" w:cs="Times New Roman"/>
          <w:b/>
          <w:i/>
          <w:iCs/>
          <w:sz w:val="22"/>
          <w:szCs w:val="22"/>
        </w:rPr>
        <w:t>ΕΝΗΜΕΡΩΤΙΚΟ ΣΗΜΕΙΩΜΑ</w:t>
      </w:r>
    </w:p>
    <w:p w:rsidR="008F56C6" w:rsidRPr="00A94288" w:rsidRDefault="008F56C6" w:rsidP="00A8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iCs/>
          <w:sz w:val="22"/>
          <w:szCs w:val="22"/>
        </w:rPr>
      </w:pPr>
    </w:p>
    <w:p w:rsidR="00A822F2" w:rsidRDefault="00A822F2" w:rsidP="00A8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sz w:val="22"/>
          <w:szCs w:val="22"/>
        </w:rPr>
      </w:pPr>
      <w:r w:rsidRPr="00A94288">
        <w:rPr>
          <w:rFonts w:ascii="Georgia" w:hAnsi="Georgia" w:cs="Times New Roman"/>
          <w:b/>
          <w:i/>
          <w:sz w:val="22"/>
          <w:szCs w:val="22"/>
          <w:lang w:val="de-DE"/>
        </w:rPr>
        <w:t>O</w:t>
      </w:r>
      <w:r w:rsidRPr="00A94288">
        <w:rPr>
          <w:rFonts w:ascii="Georgia" w:hAnsi="Georgia" w:cs="Times New Roman"/>
          <w:b/>
          <w:i/>
          <w:sz w:val="22"/>
          <w:szCs w:val="22"/>
        </w:rPr>
        <w:t xml:space="preserve"> τομέας των βιολογικών προϊόντων στη Γερμανία</w:t>
      </w:r>
      <w:r w:rsidR="00001A35" w:rsidRPr="00A94288">
        <w:rPr>
          <w:rStyle w:val="Funotenzeichen"/>
          <w:rFonts w:ascii="Georgia" w:hAnsi="Georgia" w:cs="Times New Roman"/>
          <w:b/>
          <w:i/>
          <w:sz w:val="22"/>
          <w:szCs w:val="22"/>
        </w:rPr>
        <w:footnoteReference w:id="1"/>
      </w:r>
    </w:p>
    <w:p w:rsidR="008F56C6" w:rsidRPr="00A94288" w:rsidRDefault="008F56C6" w:rsidP="00A8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sz w:val="22"/>
          <w:szCs w:val="22"/>
        </w:rPr>
      </w:pPr>
    </w:p>
    <w:p w:rsidR="00A822F2" w:rsidRPr="00A94288" w:rsidRDefault="00A822F2" w:rsidP="00E444DA">
      <w:pPr>
        <w:rPr>
          <w:rFonts w:ascii="Georgia" w:hAnsi="Georgia" w:cs="Times New Roman"/>
          <w:szCs w:val="24"/>
        </w:rPr>
      </w:pPr>
    </w:p>
    <w:p w:rsidR="00EF001E" w:rsidRPr="00A94288" w:rsidRDefault="00EF001E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>Στη Γερμανία το 201</w:t>
      </w:r>
      <w:r w:rsidR="00551786" w:rsidRPr="00A94288">
        <w:rPr>
          <w:rFonts w:ascii="Georgia" w:hAnsi="Georgia"/>
          <w:sz w:val="22"/>
          <w:szCs w:val="22"/>
        </w:rPr>
        <w:t>5</w:t>
      </w:r>
      <w:r w:rsidRPr="00A94288">
        <w:rPr>
          <w:rFonts w:ascii="Georgia" w:hAnsi="Georgia"/>
          <w:sz w:val="22"/>
          <w:szCs w:val="22"/>
        </w:rPr>
        <w:t xml:space="preserve"> </w:t>
      </w:r>
      <w:r w:rsidR="00D90308" w:rsidRPr="00A94288">
        <w:rPr>
          <w:rFonts w:ascii="Georgia" w:hAnsi="Georgia"/>
          <w:sz w:val="22"/>
          <w:szCs w:val="22"/>
        </w:rPr>
        <w:t xml:space="preserve">χρησιμοποιούνταν </w:t>
      </w:r>
      <w:r w:rsidR="008F56C6">
        <w:rPr>
          <w:rFonts w:ascii="Georgia" w:hAnsi="Georgia"/>
          <w:sz w:val="22"/>
          <w:szCs w:val="22"/>
        </w:rPr>
        <w:t xml:space="preserve">περίπου </w:t>
      </w:r>
      <w:r w:rsidR="00D90308" w:rsidRPr="00A94288">
        <w:rPr>
          <w:rFonts w:ascii="Georgia" w:hAnsi="Georgia"/>
          <w:sz w:val="22"/>
          <w:szCs w:val="22"/>
        </w:rPr>
        <w:t>1.</w:t>
      </w:r>
      <w:r w:rsidR="00551786" w:rsidRPr="00A94288">
        <w:rPr>
          <w:rFonts w:ascii="Georgia" w:hAnsi="Georgia"/>
          <w:sz w:val="22"/>
          <w:szCs w:val="22"/>
        </w:rPr>
        <w:t>078</w:t>
      </w:r>
      <w:r w:rsidR="00D90308" w:rsidRPr="00A94288">
        <w:rPr>
          <w:rFonts w:ascii="Georgia" w:hAnsi="Georgia"/>
          <w:sz w:val="22"/>
          <w:szCs w:val="22"/>
        </w:rPr>
        <w:t>.</w:t>
      </w:r>
      <w:r w:rsidR="00E97E8F" w:rsidRPr="00A94288">
        <w:rPr>
          <w:rFonts w:ascii="Georgia" w:hAnsi="Georgia"/>
          <w:sz w:val="22"/>
          <w:szCs w:val="22"/>
        </w:rPr>
        <w:t>000</w:t>
      </w:r>
      <w:r w:rsidR="00D90308" w:rsidRPr="00A94288">
        <w:rPr>
          <w:rFonts w:ascii="Georgia" w:hAnsi="Georgia"/>
          <w:sz w:val="22"/>
          <w:szCs w:val="22"/>
        </w:rPr>
        <w:t xml:space="preserve"> </w:t>
      </w:r>
      <w:r w:rsidR="00D90308" w:rsidRPr="00A94288">
        <w:rPr>
          <w:rFonts w:ascii="Georgia" w:hAnsi="Georgia"/>
          <w:b/>
          <w:i/>
          <w:sz w:val="22"/>
          <w:szCs w:val="22"/>
        </w:rPr>
        <w:t>εκτάρια</w:t>
      </w:r>
      <w:r w:rsidR="00D90308" w:rsidRPr="00A94288">
        <w:rPr>
          <w:rFonts w:ascii="Georgia" w:hAnsi="Georgia"/>
          <w:sz w:val="22"/>
          <w:szCs w:val="22"/>
        </w:rPr>
        <w:t xml:space="preserve"> </w:t>
      </w:r>
      <w:r w:rsidRPr="00A94288">
        <w:rPr>
          <w:rFonts w:ascii="Georgia" w:hAnsi="Georgia"/>
          <w:b/>
          <w:i/>
          <w:sz w:val="22"/>
          <w:szCs w:val="22"/>
        </w:rPr>
        <w:t xml:space="preserve">γης </w:t>
      </w:r>
      <w:r w:rsidRPr="00A94288">
        <w:rPr>
          <w:rFonts w:ascii="Georgia" w:hAnsi="Georgia"/>
          <w:sz w:val="22"/>
          <w:szCs w:val="22"/>
        </w:rPr>
        <w:t xml:space="preserve">για </w:t>
      </w:r>
      <w:r w:rsidR="006277B2" w:rsidRPr="00A94288">
        <w:rPr>
          <w:rFonts w:ascii="Georgia" w:hAnsi="Georgia"/>
          <w:sz w:val="22"/>
          <w:szCs w:val="22"/>
        </w:rPr>
        <w:t>την παραγωγ</w:t>
      </w:r>
      <w:r w:rsidR="00E263EC" w:rsidRPr="00A94288">
        <w:rPr>
          <w:rFonts w:ascii="Georgia" w:hAnsi="Georgia"/>
          <w:sz w:val="22"/>
          <w:szCs w:val="22"/>
        </w:rPr>
        <w:t>ή</w:t>
      </w:r>
      <w:r w:rsidR="006277B2" w:rsidRPr="00A94288">
        <w:rPr>
          <w:rFonts w:ascii="Georgia" w:hAnsi="Georgia"/>
          <w:sz w:val="22"/>
          <w:szCs w:val="22"/>
        </w:rPr>
        <w:t xml:space="preserve"> </w:t>
      </w:r>
      <w:r w:rsidRPr="00A94288">
        <w:rPr>
          <w:rFonts w:ascii="Georgia" w:hAnsi="Georgia"/>
          <w:sz w:val="22"/>
          <w:szCs w:val="22"/>
        </w:rPr>
        <w:t>βιολογικ</w:t>
      </w:r>
      <w:r w:rsidR="006277B2" w:rsidRPr="00A94288">
        <w:rPr>
          <w:rFonts w:ascii="Georgia" w:hAnsi="Georgia"/>
          <w:sz w:val="22"/>
          <w:szCs w:val="22"/>
        </w:rPr>
        <w:t>ών</w:t>
      </w:r>
      <w:r w:rsidRPr="00A94288">
        <w:rPr>
          <w:rFonts w:ascii="Georgia" w:hAnsi="Georgia"/>
          <w:sz w:val="22"/>
          <w:szCs w:val="22"/>
        </w:rPr>
        <w:t xml:space="preserve"> προϊόντ</w:t>
      </w:r>
      <w:r w:rsidR="006277B2" w:rsidRPr="00A94288">
        <w:rPr>
          <w:rFonts w:ascii="Georgia" w:hAnsi="Georgia"/>
          <w:sz w:val="22"/>
          <w:szCs w:val="22"/>
        </w:rPr>
        <w:t xml:space="preserve">ων </w:t>
      </w:r>
      <w:r w:rsidRPr="00A94288">
        <w:rPr>
          <w:rFonts w:ascii="Georgia" w:hAnsi="Georgia"/>
          <w:sz w:val="22"/>
          <w:szCs w:val="22"/>
        </w:rPr>
        <w:t>(αύξηση +</w:t>
      </w:r>
      <w:r w:rsidR="00E263EC" w:rsidRPr="00A94288">
        <w:rPr>
          <w:rFonts w:ascii="Georgia" w:hAnsi="Georgia"/>
          <w:sz w:val="22"/>
          <w:szCs w:val="22"/>
        </w:rPr>
        <w:t>2,</w:t>
      </w:r>
      <w:r w:rsidR="00551786" w:rsidRPr="00A94288">
        <w:rPr>
          <w:rFonts w:ascii="Georgia" w:hAnsi="Georgia"/>
          <w:sz w:val="22"/>
          <w:szCs w:val="22"/>
        </w:rPr>
        <w:t>9</w:t>
      </w:r>
      <w:r w:rsidRPr="00A94288">
        <w:rPr>
          <w:rFonts w:ascii="Georgia" w:hAnsi="Georgia"/>
          <w:sz w:val="22"/>
          <w:szCs w:val="22"/>
        </w:rPr>
        <w:t>% έναντι του 20</w:t>
      </w:r>
      <w:r w:rsidR="00E263EC" w:rsidRPr="00A94288">
        <w:rPr>
          <w:rFonts w:ascii="Georgia" w:hAnsi="Georgia"/>
          <w:sz w:val="22"/>
          <w:szCs w:val="22"/>
        </w:rPr>
        <w:t>1</w:t>
      </w:r>
      <w:r w:rsidR="00551786" w:rsidRPr="00A94288">
        <w:rPr>
          <w:rFonts w:ascii="Georgia" w:hAnsi="Georgia"/>
          <w:sz w:val="22"/>
          <w:szCs w:val="22"/>
        </w:rPr>
        <w:t>4</w:t>
      </w:r>
      <w:r w:rsidRPr="00A94288">
        <w:rPr>
          <w:rFonts w:ascii="Georgia" w:hAnsi="Georgia"/>
          <w:sz w:val="22"/>
          <w:szCs w:val="22"/>
        </w:rPr>
        <w:t xml:space="preserve">), τα οποία αντιστοιχούσαν στο </w:t>
      </w:r>
      <w:r w:rsidR="00E263EC" w:rsidRPr="00A94288">
        <w:rPr>
          <w:rFonts w:ascii="Georgia" w:hAnsi="Georgia"/>
          <w:sz w:val="22"/>
          <w:szCs w:val="22"/>
        </w:rPr>
        <w:t>6,</w:t>
      </w:r>
      <w:r w:rsidR="00551786" w:rsidRPr="00A94288">
        <w:rPr>
          <w:rFonts w:ascii="Georgia" w:hAnsi="Georgia"/>
          <w:sz w:val="22"/>
          <w:szCs w:val="22"/>
        </w:rPr>
        <w:t>4</w:t>
      </w:r>
      <w:r w:rsidRPr="00A94288">
        <w:rPr>
          <w:rFonts w:ascii="Georgia" w:hAnsi="Georgia"/>
          <w:sz w:val="22"/>
          <w:szCs w:val="22"/>
        </w:rPr>
        <w:t xml:space="preserve">% του συνόλου της καλλιεργούμενης γης. </w:t>
      </w:r>
    </w:p>
    <w:p w:rsidR="00EF001E" w:rsidRPr="00A94288" w:rsidRDefault="00EF001E" w:rsidP="00EF001E">
      <w:pPr>
        <w:rPr>
          <w:rFonts w:ascii="Georgia" w:hAnsi="Georgia"/>
          <w:sz w:val="22"/>
          <w:szCs w:val="22"/>
        </w:rPr>
      </w:pPr>
    </w:p>
    <w:p w:rsidR="00EF001E" w:rsidRPr="00A94288" w:rsidRDefault="00EF001E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Ο </w:t>
      </w:r>
      <w:r w:rsidRPr="00A94288">
        <w:rPr>
          <w:rFonts w:ascii="Georgia" w:hAnsi="Georgia"/>
          <w:b/>
          <w:i/>
          <w:sz w:val="22"/>
          <w:szCs w:val="22"/>
        </w:rPr>
        <w:t>αριθμός των εταιρειών</w:t>
      </w:r>
      <w:r w:rsidRPr="00A94288">
        <w:rPr>
          <w:rFonts w:ascii="Georgia" w:hAnsi="Georgia"/>
          <w:sz w:val="22"/>
          <w:szCs w:val="22"/>
        </w:rPr>
        <w:t xml:space="preserve"> </w:t>
      </w:r>
      <w:r w:rsidRPr="00A94288">
        <w:rPr>
          <w:rFonts w:ascii="Georgia" w:hAnsi="Georgia"/>
          <w:b/>
          <w:i/>
          <w:sz w:val="22"/>
          <w:szCs w:val="22"/>
        </w:rPr>
        <w:t xml:space="preserve">που </w:t>
      </w:r>
      <w:r w:rsidR="00E263EC" w:rsidRPr="00A94288">
        <w:rPr>
          <w:rFonts w:ascii="Georgia" w:hAnsi="Georgia"/>
          <w:b/>
          <w:i/>
          <w:sz w:val="22"/>
          <w:szCs w:val="22"/>
        </w:rPr>
        <w:t>παρήγαγαν</w:t>
      </w:r>
      <w:r w:rsidRPr="00A94288">
        <w:rPr>
          <w:rFonts w:ascii="Georgia" w:hAnsi="Georgia"/>
          <w:b/>
          <w:i/>
          <w:sz w:val="22"/>
          <w:szCs w:val="22"/>
        </w:rPr>
        <w:t xml:space="preserve"> βιολογικά προϊόντα</w:t>
      </w:r>
      <w:r w:rsidR="00E263EC" w:rsidRPr="00A94288">
        <w:rPr>
          <w:rFonts w:ascii="Georgia" w:hAnsi="Georgia"/>
          <w:sz w:val="22"/>
          <w:szCs w:val="22"/>
        </w:rPr>
        <w:t xml:space="preserve"> το 201</w:t>
      </w:r>
      <w:r w:rsidR="00551786" w:rsidRPr="00A94288">
        <w:rPr>
          <w:rFonts w:ascii="Georgia" w:hAnsi="Georgia"/>
          <w:sz w:val="22"/>
          <w:szCs w:val="22"/>
        </w:rPr>
        <w:t>5</w:t>
      </w:r>
      <w:r w:rsidRPr="00A94288">
        <w:rPr>
          <w:rFonts w:ascii="Georgia" w:hAnsi="Georgia"/>
          <w:sz w:val="22"/>
          <w:szCs w:val="22"/>
        </w:rPr>
        <w:t xml:space="preserve"> ανήλθε σε 2</w:t>
      </w:r>
      <w:r w:rsidR="00551786" w:rsidRPr="00A94288">
        <w:rPr>
          <w:rFonts w:ascii="Georgia" w:hAnsi="Georgia"/>
          <w:sz w:val="22"/>
          <w:szCs w:val="22"/>
        </w:rPr>
        <w:t>4</w:t>
      </w:r>
      <w:r w:rsidRPr="00A94288">
        <w:rPr>
          <w:rFonts w:ascii="Georgia" w:hAnsi="Georgia"/>
          <w:sz w:val="22"/>
          <w:szCs w:val="22"/>
        </w:rPr>
        <w:t>.</w:t>
      </w:r>
      <w:r w:rsidR="00551786" w:rsidRPr="00A94288">
        <w:rPr>
          <w:rFonts w:ascii="Georgia" w:hAnsi="Georgia"/>
          <w:sz w:val="22"/>
          <w:szCs w:val="22"/>
        </w:rPr>
        <w:t>343</w:t>
      </w:r>
      <w:r w:rsidR="00001A35" w:rsidRPr="00A94288">
        <w:rPr>
          <w:rFonts w:ascii="Georgia" w:hAnsi="Georgia"/>
          <w:sz w:val="22"/>
          <w:szCs w:val="22"/>
        </w:rPr>
        <w:t xml:space="preserve"> (</w:t>
      </w:r>
      <w:r w:rsidR="00E263EC" w:rsidRPr="00A94288">
        <w:rPr>
          <w:rFonts w:ascii="Georgia" w:hAnsi="Georgia"/>
          <w:sz w:val="22"/>
          <w:szCs w:val="22"/>
        </w:rPr>
        <w:t xml:space="preserve">αύξηση </w:t>
      </w:r>
      <w:r w:rsidR="00551786" w:rsidRPr="00A94288">
        <w:rPr>
          <w:rFonts w:ascii="Georgia" w:hAnsi="Georgia"/>
          <w:sz w:val="22"/>
          <w:szCs w:val="22"/>
        </w:rPr>
        <w:t>4</w:t>
      </w:r>
      <w:r w:rsidRPr="00A94288">
        <w:rPr>
          <w:rFonts w:ascii="Georgia" w:hAnsi="Georgia"/>
          <w:sz w:val="22"/>
          <w:szCs w:val="22"/>
        </w:rPr>
        <w:t>%</w:t>
      </w:r>
      <w:r w:rsidR="00D90308" w:rsidRPr="00A94288">
        <w:rPr>
          <w:rFonts w:ascii="Georgia" w:hAnsi="Georgia"/>
          <w:sz w:val="22"/>
          <w:szCs w:val="22"/>
        </w:rPr>
        <w:t xml:space="preserve"> έναντι του 201</w:t>
      </w:r>
      <w:r w:rsidR="00551786" w:rsidRPr="00A94288">
        <w:rPr>
          <w:rFonts w:ascii="Georgia" w:hAnsi="Georgia"/>
          <w:sz w:val="22"/>
          <w:szCs w:val="22"/>
        </w:rPr>
        <w:t>4</w:t>
      </w:r>
      <w:r w:rsidRPr="00A94288">
        <w:rPr>
          <w:rFonts w:ascii="Georgia" w:hAnsi="Georgia"/>
          <w:sz w:val="22"/>
          <w:szCs w:val="22"/>
        </w:rPr>
        <w:t xml:space="preserve">). Στη Γερμανία η πλειονότητα των εταιρειών παραγωγής βιολογικών προϊόντων </w:t>
      </w:r>
      <w:r w:rsidR="00551786" w:rsidRPr="00A94288">
        <w:rPr>
          <w:rFonts w:ascii="Georgia" w:hAnsi="Georgia"/>
          <w:sz w:val="22"/>
          <w:szCs w:val="22"/>
        </w:rPr>
        <w:t>(ήτοι 53,4</w:t>
      </w:r>
      <w:r w:rsidR="00E97E8F" w:rsidRPr="00A94288">
        <w:rPr>
          <w:rFonts w:ascii="Georgia" w:hAnsi="Georgia"/>
          <w:sz w:val="22"/>
          <w:szCs w:val="22"/>
        </w:rPr>
        <w:t xml:space="preserve">%) </w:t>
      </w:r>
      <w:r w:rsidRPr="00A94288">
        <w:rPr>
          <w:rFonts w:ascii="Georgia" w:hAnsi="Georgia"/>
          <w:sz w:val="22"/>
          <w:szCs w:val="22"/>
        </w:rPr>
        <w:t>είναι οργανωμένες σε συνδέσμους (</w:t>
      </w:r>
      <w:r w:rsidRPr="00A94288">
        <w:rPr>
          <w:rFonts w:ascii="Georgia" w:hAnsi="Georgia"/>
          <w:sz w:val="22"/>
          <w:szCs w:val="22"/>
          <w:lang w:val="en-US"/>
        </w:rPr>
        <w:t>Bioland</w:t>
      </w:r>
      <w:r w:rsidRPr="00A94288">
        <w:rPr>
          <w:rFonts w:ascii="Georgia" w:hAnsi="Georgia"/>
          <w:sz w:val="22"/>
          <w:szCs w:val="22"/>
        </w:rPr>
        <w:t xml:space="preserve">, </w:t>
      </w:r>
      <w:r w:rsidRPr="00A94288">
        <w:rPr>
          <w:rFonts w:ascii="Georgia" w:hAnsi="Georgia"/>
          <w:sz w:val="22"/>
          <w:szCs w:val="22"/>
          <w:lang w:val="en-US"/>
        </w:rPr>
        <w:t>Demeter</w:t>
      </w:r>
      <w:r w:rsidRPr="00A94288">
        <w:rPr>
          <w:rFonts w:ascii="Georgia" w:hAnsi="Georgia"/>
          <w:sz w:val="22"/>
          <w:szCs w:val="22"/>
        </w:rPr>
        <w:t xml:space="preserve">, </w:t>
      </w:r>
      <w:r w:rsidRPr="00A94288">
        <w:rPr>
          <w:rFonts w:ascii="Georgia" w:hAnsi="Georgia"/>
          <w:sz w:val="22"/>
          <w:szCs w:val="22"/>
          <w:lang w:val="en-US"/>
        </w:rPr>
        <w:t>Naturland</w:t>
      </w:r>
      <w:r w:rsidRPr="00A94288">
        <w:rPr>
          <w:rFonts w:ascii="Georgia" w:hAnsi="Georgia"/>
          <w:sz w:val="22"/>
          <w:szCs w:val="22"/>
        </w:rPr>
        <w:t xml:space="preserve">, </w:t>
      </w:r>
      <w:r w:rsidRPr="00A94288">
        <w:rPr>
          <w:rFonts w:ascii="Georgia" w:hAnsi="Georgia"/>
          <w:sz w:val="22"/>
          <w:szCs w:val="22"/>
          <w:lang w:val="en-US"/>
        </w:rPr>
        <w:t>Biokreis</w:t>
      </w:r>
      <w:r w:rsidRPr="00A94288">
        <w:rPr>
          <w:rFonts w:ascii="Georgia" w:hAnsi="Georgia"/>
          <w:sz w:val="22"/>
          <w:szCs w:val="22"/>
        </w:rPr>
        <w:t xml:space="preserve">, </w:t>
      </w:r>
      <w:r w:rsidRPr="00A94288">
        <w:rPr>
          <w:rFonts w:ascii="Georgia" w:hAnsi="Georgia"/>
          <w:sz w:val="22"/>
          <w:szCs w:val="22"/>
          <w:lang w:val="en-US"/>
        </w:rPr>
        <w:t>Biopark</w:t>
      </w:r>
      <w:r w:rsidRPr="00A94288">
        <w:rPr>
          <w:rFonts w:ascii="Georgia" w:hAnsi="Georgia"/>
          <w:sz w:val="22"/>
          <w:szCs w:val="22"/>
        </w:rPr>
        <w:t xml:space="preserve">, </w:t>
      </w:r>
      <w:r w:rsidRPr="00A94288">
        <w:rPr>
          <w:rFonts w:ascii="Georgia" w:hAnsi="Georgia"/>
          <w:sz w:val="22"/>
          <w:szCs w:val="22"/>
          <w:lang w:val="en-US"/>
        </w:rPr>
        <w:t>Ecoland</w:t>
      </w:r>
      <w:r w:rsidRPr="00A94288">
        <w:rPr>
          <w:rFonts w:ascii="Georgia" w:hAnsi="Georgia"/>
          <w:sz w:val="22"/>
          <w:szCs w:val="22"/>
        </w:rPr>
        <w:t xml:space="preserve">, </w:t>
      </w:r>
      <w:r w:rsidRPr="00A94288">
        <w:rPr>
          <w:rFonts w:ascii="Georgia" w:hAnsi="Georgia"/>
          <w:sz w:val="22"/>
          <w:szCs w:val="22"/>
          <w:lang w:val="en-US"/>
        </w:rPr>
        <w:t>Ecovin</w:t>
      </w:r>
      <w:r w:rsidRPr="00A94288">
        <w:rPr>
          <w:rFonts w:ascii="Georgia" w:hAnsi="Georgia"/>
          <w:sz w:val="22"/>
          <w:szCs w:val="22"/>
        </w:rPr>
        <w:t xml:space="preserve">, </w:t>
      </w:r>
      <w:r w:rsidR="00E97E8F" w:rsidRPr="00A94288">
        <w:rPr>
          <w:rFonts w:ascii="Georgia" w:hAnsi="Georgia"/>
          <w:sz w:val="22"/>
          <w:szCs w:val="22"/>
          <w:lang w:val="en-US"/>
        </w:rPr>
        <w:t>Gä</w:t>
      </w:r>
      <w:r w:rsidRPr="00A94288">
        <w:rPr>
          <w:rFonts w:ascii="Georgia" w:hAnsi="Georgia"/>
          <w:sz w:val="22"/>
          <w:szCs w:val="22"/>
          <w:lang w:val="en-US"/>
        </w:rPr>
        <w:t>a</w:t>
      </w:r>
      <w:r w:rsidR="0070396E" w:rsidRPr="00A94288">
        <w:rPr>
          <w:rFonts w:ascii="Georgia" w:hAnsi="Georgia"/>
          <w:sz w:val="22"/>
          <w:szCs w:val="22"/>
          <w:lang w:val="en-US"/>
        </w:rPr>
        <w:t>, Ökohöfe</w:t>
      </w:r>
      <w:r w:rsidR="00551786" w:rsidRPr="00A94288">
        <w:rPr>
          <w:rFonts w:ascii="Georgia" w:hAnsi="Georgia"/>
          <w:sz w:val="22"/>
          <w:szCs w:val="22"/>
        </w:rPr>
        <w:t>, Ν</w:t>
      </w:r>
      <w:r w:rsidR="00551786" w:rsidRPr="00A94288">
        <w:rPr>
          <w:rFonts w:ascii="Georgia" w:hAnsi="Georgia"/>
          <w:sz w:val="22"/>
          <w:szCs w:val="22"/>
          <w:lang w:val="de-DE"/>
        </w:rPr>
        <w:t>aturland</w:t>
      </w:r>
      <w:r w:rsidRPr="00A94288">
        <w:rPr>
          <w:rFonts w:ascii="Georgia" w:hAnsi="Georgia"/>
          <w:sz w:val="22"/>
          <w:szCs w:val="22"/>
        </w:rPr>
        <w:t>)</w:t>
      </w:r>
      <w:r w:rsidR="006277B2" w:rsidRPr="00A94288">
        <w:rPr>
          <w:rFonts w:ascii="Georgia" w:hAnsi="Georgia"/>
          <w:sz w:val="22"/>
          <w:szCs w:val="22"/>
        </w:rPr>
        <w:t>,</w:t>
      </w:r>
      <w:r w:rsidRPr="00A94288">
        <w:rPr>
          <w:rFonts w:ascii="Georgia" w:hAnsi="Georgia"/>
          <w:sz w:val="22"/>
          <w:szCs w:val="22"/>
        </w:rPr>
        <w:t xml:space="preserve"> τα μέλη των οποίων </w:t>
      </w:r>
      <w:r w:rsidR="00A822F2" w:rsidRPr="00A94288">
        <w:rPr>
          <w:rFonts w:ascii="Georgia" w:hAnsi="Georgia"/>
          <w:sz w:val="22"/>
          <w:szCs w:val="22"/>
        </w:rPr>
        <w:t>κατέχουν</w:t>
      </w:r>
      <w:r w:rsidRPr="00A94288">
        <w:rPr>
          <w:rFonts w:ascii="Georgia" w:hAnsi="Georgia"/>
          <w:sz w:val="22"/>
          <w:szCs w:val="22"/>
        </w:rPr>
        <w:t xml:space="preserve"> το </w:t>
      </w:r>
      <w:r w:rsidR="00D90308" w:rsidRPr="00A94288">
        <w:rPr>
          <w:rFonts w:ascii="Georgia" w:hAnsi="Georgia"/>
          <w:sz w:val="22"/>
          <w:szCs w:val="22"/>
        </w:rPr>
        <w:t>6</w:t>
      </w:r>
      <w:r w:rsidR="00551786" w:rsidRPr="00A94288">
        <w:rPr>
          <w:rFonts w:ascii="Georgia" w:hAnsi="Georgia"/>
          <w:sz w:val="22"/>
          <w:szCs w:val="22"/>
        </w:rPr>
        <w:t>8,9</w:t>
      </w:r>
      <w:r w:rsidRPr="00A94288">
        <w:rPr>
          <w:rFonts w:ascii="Georgia" w:hAnsi="Georgia"/>
          <w:sz w:val="22"/>
          <w:szCs w:val="22"/>
        </w:rPr>
        <w:t xml:space="preserve">% της βιολογικά χρησιμοποιούμενης γης. Συνολικά οι εταιρείες παραγωγής βιολογικών προϊόντων αντιστοιχούν στο </w:t>
      </w:r>
      <w:r w:rsidR="00E263EC" w:rsidRPr="00A94288">
        <w:rPr>
          <w:rFonts w:ascii="Georgia" w:hAnsi="Georgia"/>
          <w:sz w:val="22"/>
          <w:szCs w:val="22"/>
        </w:rPr>
        <w:t>8</w:t>
      </w:r>
      <w:r w:rsidR="00551786" w:rsidRPr="00A94288">
        <w:rPr>
          <w:rFonts w:ascii="Georgia" w:hAnsi="Georgia"/>
          <w:sz w:val="22"/>
          <w:szCs w:val="22"/>
        </w:rPr>
        <w:t>,7</w:t>
      </w:r>
      <w:r w:rsidRPr="00A94288">
        <w:rPr>
          <w:rFonts w:ascii="Georgia" w:hAnsi="Georgia"/>
          <w:sz w:val="22"/>
          <w:szCs w:val="22"/>
        </w:rPr>
        <w:t xml:space="preserve">% του συνόλου των εταιρειών παραγωγής αγροτικών προϊόντων. </w:t>
      </w:r>
      <w:r w:rsidR="00904069" w:rsidRPr="00A94288">
        <w:rPr>
          <w:rFonts w:ascii="Georgia" w:hAnsi="Georgia"/>
          <w:sz w:val="22"/>
          <w:szCs w:val="22"/>
        </w:rPr>
        <w:t xml:space="preserve"> </w:t>
      </w:r>
      <w:r w:rsidR="00904069" w:rsidRPr="00A94288">
        <w:rPr>
          <w:rFonts w:ascii="Georgia" w:hAnsi="Georgia"/>
          <w:sz w:val="22"/>
          <w:szCs w:val="22"/>
          <w:lang w:val="de-DE"/>
        </w:rPr>
        <w:t>To</w:t>
      </w:r>
      <w:r w:rsidR="00904069" w:rsidRPr="00A94288">
        <w:rPr>
          <w:rFonts w:ascii="Georgia" w:hAnsi="Georgia"/>
          <w:sz w:val="22"/>
          <w:szCs w:val="22"/>
        </w:rPr>
        <w:t xml:space="preserve"> μέσο μέγεθος γης των εν </w:t>
      </w:r>
      <w:r w:rsidR="0070396E" w:rsidRPr="00A94288">
        <w:rPr>
          <w:rFonts w:ascii="Georgia" w:hAnsi="Georgia"/>
          <w:sz w:val="22"/>
          <w:szCs w:val="22"/>
        </w:rPr>
        <w:t xml:space="preserve">λόγω εταιρειών ανερχόταν σε </w:t>
      </w:r>
      <w:r w:rsidR="00D24F76" w:rsidRPr="00A94288">
        <w:rPr>
          <w:rFonts w:ascii="Georgia" w:hAnsi="Georgia"/>
          <w:sz w:val="22"/>
          <w:szCs w:val="22"/>
        </w:rPr>
        <w:t xml:space="preserve">44,2 </w:t>
      </w:r>
      <w:r w:rsidR="00904069" w:rsidRPr="00A94288">
        <w:rPr>
          <w:rFonts w:ascii="Georgia" w:hAnsi="Georgia"/>
          <w:sz w:val="22"/>
          <w:szCs w:val="22"/>
        </w:rPr>
        <w:t>εκτάρια.</w:t>
      </w:r>
    </w:p>
    <w:p w:rsidR="00D24F76" w:rsidRPr="00A94288" w:rsidRDefault="00D24F76" w:rsidP="00EF001E">
      <w:pPr>
        <w:rPr>
          <w:rFonts w:ascii="Georgia" w:hAnsi="Georgia"/>
          <w:sz w:val="22"/>
          <w:szCs w:val="22"/>
        </w:rPr>
      </w:pPr>
    </w:p>
    <w:p w:rsidR="00D24F76" w:rsidRPr="00A94288" w:rsidRDefault="008F56C6" w:rsidP="00EF001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Κατά τ</w:t>
      </w:r>
      <w:r w:rsidR="00D24F76" w:rsidRPr="00A94288">
        <w:rPr>
          <w:rFonts w:ascii="Georgia" w:hAnsi="Georgia"/>
          <w:sz w:val="22"/>
          <w:szCs w:val="22"/>
        </w:rPr>
        <w:t xml:space="preserve">ο 2014 </w:t>
      </w:r>
      <w:r w:rsidR="00B3080B" w:rsidRPr="00A94288">
        <w:rPr>
          <w:rFonts w:ascii="Georgia" w:hAnsi="Georgia"/>
          <w:sz w:val="22"/>
          <w:szCs w:val="22"/>
        </w:rPr>
        <w:t>σημαντικά μεγέθη στην παραγωγή βιολογικών προϊόντων αποτ</w:t>
      </w:r>
      <w:r w:rsidR="00F55869" w:rsidRPr="00A94288">
        <w:rPr>
          <w:rFonts w:ascii="Georgia" w:hAnsi="Georgia"/>
          <w:sz w:val="22"/>
          <w:szCs w:val="22"/>
        </w:rPr>
        <w:t xml:space="preserve">έλεσαν </w:t>
      </w:r>
      <w:r w:rsidR="00B3080B" w:rsidRPr="00A94288">
        <w:rPr>
          <w:rFonts w:ascii="Georgia" w:hAnsi="Georgia"/>
          <w:sz w:val="22"/>
          <w:szCs w:val="22"/>
        </w:rPr>
        <w:t xml:space="preserve">τα </w:t>
      </w:r>
      <w:r w:rsidR="00D24F76" w:rsidRPr="00A94288">
        <w:rPr>
          <w:rFonts w:ascii="Georgia" w:hAnsi="Georgia"/>
          <w:sz w:val="22"/>
          <w:szCs w:val="22"/>
        </w:rPr>
        <w:t xml:space="preserve"> 4,2 εκ. κοτόπουλα για </w:t>
      </w:r>
      <w:r>
        <w:rPr>
          <w:rFonts w:ascii="Georgia" w:hAnsi="Georgia"/>
          <w:sz w:val="22"/>
          <w:szCs w:val="22"/>
        </w:rPr>
        <w:t xml:space="preserve">βιολογική </w:t>
      </w:r>
      <w:r w:rsidR="00D24F76" w:rsidRPr="00A94288">
        <w:rPr>
          <w:rFonts w:ascii="Georgia" w:hAnsi="Georgia"/>
          <w:sz w:val="22"/>
          <w:szCs w:val="22"/>
        </w:rPr>
        <w:t>αυγοπαραγωγή  με 1.134 εκ</w:t>
      </w:r>
      <w:r w:rsidR="00B3080B" w:rsidRPr="00A94288">
        <w:rPr>
          <w:rFonts w:ascii="Georgia" w:hAnsi="Georgia"/>
          <w:sz w:val="22"/>
          <w:szCs w:val="22"/>
        </w:rPr>
        <w:t>.</w:t>
      </w:r>
      <w:r w:rsidR="00D24F76" w:rsidRPr="00A94288">
        <w:rPr>
          <w:rFonts w:ascii="Georgia" w:hAnsi="Georgia"/>
          <w:sz w:val="22"/>
          <w:szCs w:val="22"/>
        </w:rPr>
        <w:t xml:space="preserve"> αυγά (αύξηση έναντι του 2013 +9,6% , ήτοι ένα στα δέκα αυγά που κυκλοφόρησαν στην αγορά ήταν βιολογικής προέλευσης), 7</w:t>
      </w:r>
      <w:r w:rsidR="00B3080B" w:rsidRPr="00A94288">
        <w:rPr>
          <w:rFonts w:ascii="Georgia" w:hAnsi="Georgia"/>
          <w:sz w:val="22"/>
          <w:szCs w:val="22"/>
        </w:rPr>
        <w:t xml:space="preserve">08 χιλιάδες τόνοι </w:t>
      </w:r>
      <w:r w:rsidR="00D24F76" w:rsidRPr="00A94288">
        <w:rPr>
          <w:rFonts w:ascii="Georgia" w:hAnsi="Georgia"/>
          <w:sz w:val="22"/>
          <w:szCs w:val="22"/>
        </w:rPr>
        <w:t>γάλα (αύξηση 3,7%), 20.800 τ</w:t>
      </w:r>
      <w:r w:rsidR="00B3080B" w:rsidRPr="00A94288">
        <w:rPr>
          <w:rFonts w:ascii="Georgia" w:hAnsi="Georgia"/>
          <w:sz w:val="22"/>
          <w:szCs w:val="22"/>
        </w:rPr>
        <w:t>ό</w:t>
      </w:r>
      <w:r w:rsidR="00D24F76" w:rsidRPr="00A94288">
        <w:rPr>
          <w:rFonts w:ascii="Georgia" w:hAnsi="Georgia"/>
          <w:sz w:val="22"/>
          <w:szCs w:val="22"/>
        </w:rPr>
        <w:t xml:space="preserve">νοι χοιρινό κρέας (μείωση 6,7%) </w:t>
      </w:r>
      <w:r w:rsidR="00B3080B" w:rsidRPr="00A94288">
        <w:rPr>
          <w:rFonts w:ascii="Georgia" w:hAnsi="Georgia"/>
          <w:sz w:val="22"/>
          <w:szCs w:val="22"/>
        </w:rPr>
        <w:t>και 39.300 τόνοι βοδινού κρέατος (αύξηση 2,3%).</w:t>
      </w:r>
    </w:p>
    <w:p w:rsidR="00001A35" w:rsidRPr="00A94288" w:rsidRDefault="00001A35" w:rsidP="00EF001E">
      <w:pPr>
        <w:rPr>
          <w:rFonts w:ascii="Georgia" w:hAnsi="Georgia"/>
          <w:sz w:val="22"/>
          <w:szCs w:val="22"/>
        </w:rPr>
      </w:pPr>
    </w:p>
    <w:p w:rsidR="0070396E" w:rsidRPr="00A94288" w:rsidRDefault="00EF001E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Τα </w:t>
      </w:r>
      <w:r w:rsidRPr="00A94288">
        <w:rPr>
          <w:rFonts w:ascii="Georgia" w:hAnsi="Georgia"/>
          <w:b/>
          <w:i/>
          <w:sz w:val="22"/>
          <w:szCs w:val="22"/>
        </w:rPr>
        <w:t>έσοδα</w:t>
      </w:r>
      <w:r w:rsidRPr="00A94288">
        <w:rPr>
          <w:rFonts w:ascii="Georgia" w:hAnsi="Georgia"/>
          <w:sz w:val="22"/>
          <w:szCs w:val="22"/>
        </w:rPr>
        <w:t xml:space="preserve"> των παραγωγών βιολογικών προϊόντων το 20</w:t>
      </w:r>
      <w:r w:rsidR="00D90308" w:rsidRPr="00A94288">
        <w:rPr>
          <w:rFonts w:ascii="Georgia" w:hAnsi="Georgia"/>
          <w:sz w:val="22"/>
          <w:szCs w:val="22"/>
        </w:rPr>
        <w:t>1</w:t>
      </w:r>
      <w:r w:rsidR="00551786" w:rsidRPr="00A94288">
        <w:rPr>
          <w:rFonts w:ascii="Georgia" w:hAnsi="Georgia"/>
          <w:sz w:val="22"/>
          <w:szCs w:val="22"/>
        </w:rPr>
        <w:t>4</w:t>
      </w:r>
      <w:r w:rsidRPr="00A94288">
        <w:rPr>
          <w:rFonts w:ascii="Georgia" w:hAnsi="Georgia"/>
          <w:sz w:val="22"/>
          <w:szCs w:val="22"/>
        </w:rPr>
        <w:t xml:space="preserve">, παρουσίασαν </w:t>
      </w:r>
      <w:r w:rsidR="00C45E28" w:rsidRPr="00A94288">
        <w:rPr>
          <w:rFonts w:ascii="Georgia" w:hAnsi="Georgia"/>
          <w:sz w:val="22"/>
          <w:szCs w:val="22"/>
        </w:rPr>
        <w:t>αύξηση</w:t>
      </w:r>
      <w:r w:rsidRPr="00A94288">
        <w:rPr>
          <w:rFonts w:ascii="Georgia" w:hAnsi="Georgia"/>
          <w:sz w:val="22"/>
          <w:szCs w:val="22"/>
        </w:rPr>
        <w:t xml:space="preserve"> κατά </w:t>
      </w:r>
      <w:r w:rsidR="00551786" w:rsidRPr="00A94288">
        <w:rPr>
          <w:rFonts w:ascii="Georgia" w:hAnsi="Georgia"/>
          <w:sz w:val="22"/>
          <w:szCs w:val="22"/>
        </w:rPr>
        <w:t>7</w:t>
      </w:r>
      <w:r w:rsidR="00C45E28" w:rsidRPr="00A94288">
        <w:rPr>
          <w:rFonts w:ascii="Georgia" w:hAnsi="Georgia"/>
          <w:sz w:val="22"/>
          <w:szCs w:val="22"/>
        </w:rPr>
        <w:t>%</w:t>
      </w:r>
      <w:r w:rsidRPr="00A94288">
        <w:rPr>
          <w:rFonts w:ascii="Georgia" w:hAnsi="Georgia"/>
          <w:sz w:val="22"/>
          <w:szCs w:val="22"/>
        </w:rPr>
        <w:t xml:space="preserve"> έναντι του 20</w:t>
      </w:r>
      <w:r w:rsidR="00D90308" w:rsidRPr="00A94288">
        <w:rPr>
          <w:rFonts w:ascii="Georgia" w:hAnsi="Georgia"/>
          <w:sz w:val="22"/>
          <w:szCs w:val="22"/>
        </w:rPr>
        <w:t>1</w:t>
      </w:r>
      <w:r w:rsidR="00551786" w:rsidRPr="00A94288">
        <w:rPr>
          <w:rFonts w:ascii="Georgia" w:hAnsi="Georgia"/>
          <w:sz w:val="22"/>
          <w:szCs w:val="22"/>
        </w:rPr>
        <w:t>3</w:t>
      </w:r>
      <w:r w:rsidRPr="00A94288">
        <w:rPr>
          <w:rFonts w:ascii="Georgia" w:hAnsi="Georgia"/>
          <w:sz w:val="22"/>
          <w:szCs w:val="22"/>
        </w:rPr>
        <w:t xml:space="preserve"> (</w:t>
      </w:r>
      <w:r w:rsidR="00C45E28" w:rsidRPr="00A94288">
        <w:rPr>
          <w:rFonts w:ascii="Georgia" w:hAnsi="Georgia"/>
          <w:sz w:val="22"/>
          <w:szCs w:val="22"/>
        </w:rPr>
        <w:t>κυρίως λόγω της αύξησης των τιμών παραγωγού</w:t>
      </w:r>
      <w:r w:rsidR="00D90308" w:rsidRPr="00A94288">
        <w:rPr>
          <w:rFonts w:ascii="Georgia" w:hAnsi="Georgia"/>
          <w:sz w:val="22"/>
          <w:szCs w:val="22"/>
        </w:rPr>
        <w:t xml:space="preserve"> </w:t>
      </w:r>
      <w:r w:rsidR="0070396E" w:rsidRPr="00A94288">
        <w:rPr>
          <w:rFonts w:ascii="Georgia" w:hAnsi="Georgia"/>
          <w:sz w:val="22"/>
          <w:szCs w:val="22"/>
        </w:rPr>
        <w:t>στο γάλα</w:t>
      </w:r>
      <w:r w:rsidR="00551786" w:rsidRPr="00A94288">
        <w:rPr>
          <w:rFonts w:ascii="Georgia" w:hAnsi="Georgia"/>
          <w:sz w:val="22"/>
          <w:szCs w:val="22"/>
        </w:rPr>
        <w:t xml:space="preserve"> και στα δημητριακά</w:t>
      </w:r>
      <w:r w:rsidR="0070396E" w:rsidRPr="00A94288">
        <w:rPr>
          <w:rFonts w:ascii="Georgia" w:hAnsi="Georgia"/>
          <w:sz w:val="22"/>
          <w:szCs w:val="22"/>
        </w:rPr>
        <w:t xml:space="preserve">, </w:t>
      </w:r>
      <w:r w:rsidR="00D90308" w:rsidRPr="00A94288">
        <w:rPr>
          <w:rFonts w:ascii="Georgia" w:hAnsi="Georgia"/>
          <w:sz w:val="22"/>
          <w:szCs w:val="22"/>
        </w:rPr>
        <w:t xml:space="preserve">της </w:t>
      </w:r>
      <w:r w:rsidR="00551786" w:rsidRPr="00A94288">
        <w:rPr>
          <w:rFonts w:ascii="Georgia" w:hAnsi="Georgia"/>
          <w:sz w:val="22"/>
          <w:szCs w:val="22"/>
        </w:rPr>
        <w:t>α</w:t>
      </w:r>
      <w:r w:rsidR="00340FBA" w:rsidRPr="00A94288">
        <w:rPr>
          <w:rFonts w:ascii="Georgia" w:hAnsi="Georgia"/>
          <w:sz w:val="22"/>
          <w:szCs w:val="22"/>
        </w:rPr>
        <w:t xml:space="preserve">υξημένης </w:t>
      </w:r>
      <w:r w:rsidR="00D90308" w:rsidRPr="00A94288">
        <w:rPr>
          <w:rFonts w:ascii="Georgia" w:hAnsi="Georgia"/>
          <w:sz w:val="22"/>
          <w:szCs w:val="22"/>
        </w:rPr>
        <w:t>ζήτησης</w:t>
      </w:r>
      <w:r w:rsidR="0070396E" w:rsidRPr="00A94288">
        <w:rPr>
          <w:rFonts w:ascii="Georgia" w:hAnsi="Georgia"/>
          <w:sz w:val="22"/>
          <w:szCs w:val="22"/>
        </w:rPr>
        <w:t xml:space="preserve"> </w:t>
      </w:r>
      <w:r w:rsidR="00340FBA" w:rsidRPr="00A94288">
        <w:rPr>
          <w:rFonts w:ascii="Georgia" w:hAnsi="Georgia"/>
          <w:sz w:val="22"/>
          <w:szCs w:val="22"/>
        </w:rPr>
        <w:t xml:space="preserve">για βιολογικά προϊόντα </w:t>
      </w:r>
      <w:r w:rsidR="0070396E" w:rsidRPr="00A94288">
        <w:rPr>
          <w:rFonts w:ascii="Georgia" w:hAnsi="Georgia"/>
          <w:sz w:val="22"/>
          <w:szCs w:val="22"/>
        </w:rPr>
        <w:t>και της αυξημένης παραγωγής αυγών και πουλερικών</w:t>
      </w:r>
      <w:r w:rsidRPr="00A94288">
        <w:rPr>
          <w:rFonts w:ascii="Georgia" w:hAnsi="Georgia"/>
          <w:sz w:val="22"/>
          <w:szCs w:val="22"/>
        </w:rPr>
        <w:t>) και ανήλθαν σε 1,</w:t>
      </w:r>
      <w:r w:rsidR="00551786" w:rsidRPr="00A94288">
        <w:rPr>
          <w:rFonts w:ascii="Georgia" w:hAnsi="Georgia"/>
          <w:sz w:val="22"/>
          <w:szCs w:val="22"/>
        </w:rPr>
        <w:t>65</w:t>
      </w:r>
      <w:r w:rsidRPr="00A94288">
        <w:rPr>
          <w:rFonts w:ascii="Georgia" w:hAnsi="Georgia"/>
          <w:sz w:val="22"/>
          <w:szCs w:val="22"/>
        </w:rPr>
        <w:t xml:space="preserve"> δις ευρώ.</w:t>
      </w:r>
      <w:r w:rsidR="00E64670" w:rsidRPr="00A94288">
        <w:rPr>
          <w:rFonts w:ascii="Georgia" w:hAnsi="Georgia"/>
          <w:sz w:val="22"/>
          <w:szCs w:val="22"/>
        </w:rPr>
        <w:t xml:space="preserve"> </w:t>
      </w:r>
      <w:r w:rsidR="0070396E" w:rsidRPr="00A94288">
        <w:rPr>
          <w:rFonts w:ascii="Georgia" w:hAnsi="Georgia"/>
          <w:sz w:val="22"/>
          <w:szCs w:val="22"/>
        </w:rPr>
        <w:t>Το 201</w:t>
      </w:r>
      <w:r w:rsidR="00551786" w:rsidRPr="00A94288">
        <w:rPr>
          <w:rFonts w:ascii="Georgia" w:hAnsi="Georgia"/>
          <w:sz w:val="22"/>
          <w:szCs w:val="22"/>
        </w:rPr>
        <w:t>4</w:t>
      </w:r>
      <w:r w:rsidR="0070396E" w:rsidRPr="00A94288">
        <w:rPr>
          <w:rFonts w:ascii="Georgia" w:hAnsi="Georgia"/>
          <w:sz w:val="22"/>
          <w:szCs w:val="22"/>
        </w:rPr>
        <w:t xml:space="preserve"> το </w:t>
      </w:r>
      <w:r w:rsidR="00551786" w:rsidRPr="00A94288">
        <w:rPr>
          <w:rFonts w:ascii="Georgia" w:hAnsi="Georgia"/>
          <w:sz w:val="22"/>
          <w:szCs w:val="22"/>
        </w:rPr>
        <w:t>52,1%</w:t>
      </w:r>
      <w:r w:rsidR="0070396E" w:rsidRPr="00A94288">
        <w:rPr>
          <w:rFonts w:ascii="Georgia" w:hAnsi="Georgia"/>
          <w:sz w:val="22"/>
          <w:szCs w:val="22"/>
        </w:rPr>
        <w:t xml:space="preserve"> των εσόδων προήλθε από την πώληση προϊόντων ζωϊκής προέλευσης</w:t>
      </w:r>
      <w:r w:rsidR="00551786" w:rsidRPr="00A94288">
        <w:rPr>
          <w:rFonts w:ascii="Georgia" w:hAnsi="Georgia"/>
          <w:sz w:val="22"/>
          <w:szCs w:val="22"/>
        </w:rPr>
        <w:t>, ξεπερνώντας για πρώτη φορά το αντίστοιχο ποσοστό για προϊόντα φυτικής προέλευσης</w:t>
      </w:r>
      <w:r w:rsidR="0070396E" w:rsidRPr="00A94288">
        <w:rPr>
          <w:rFonts w:ascii="Georgia" w:hAnsi="Georgia"/>
          <w:sz w:val="22"/>
          <w:szCs w:val="22"/>
        </w:rPr>
        <w:t>. Για λόγους σύγκρισης αναφέρετ</w:t>
      </w:r>
      <w:r w:rsidR="00340FBA" w:rsidRPr="00A94288">
        <w:rPr>
          <w:rFonts w:ascii="Georgia" w:hAnsi="Georgia"/>
          <w:sz w:val="22"/>
          <w:szCs w:val="22"/>
        </w:rPr>
        <w:t>αι</w:t>
      </w:r>
      <w:r w:rsidR="0070396E" w:rsidRPr="00A94288">
        <w:rPr>
          <w:rFonts w:ascii="Georgia" w:hAnsi="Georgia"/>
          <w:sz w:val="22"/>
          <w:szCs w:val="22"/>
        </w:rPr>
        <w:t xml:space="preserve"> ότι τα έσοδα των γεωργών </w:t>
      </w:r>
      <w:r w:rsidR="00340FBA" w:rsidRPr="00A94288">
        <w:rPr>
          <w:rFonts w:ascii="Georgia" w:hAnsi="Georgia"/>
          <w:sz w:val="22"/>
          <w:szCs w:val="22"/>
        </w:rPr>
        <w:t>συμβατικού τρόπου καλλιέργειας</w:t>
      </w:r>
      <w:r w:rsidR="0070396E" w:rsidRPr="00A94288">
        <w:rPr>
          <w:rFonts w:ascii="Georgia" w:hAnsi="Georgia"/>
          <w:sz w:val="22"/>
          <w:szCs w:val="22"/>
        </w:rPr>
        <w:t xml:space="preserve"> το 201</w:t>
      </w:r>
      <w:r w:rsidR="00551786" w:rsidRPr="00A94288">
        <w:rPr>
          <w:rFonts w:ascii="Georgia" w:hAnsi="Georgia"/>
          <w:sz w:val="22"/>
          <w:szCs w:val="22"/>
        </w:rPr>
        <w:t>4</w:t>
      </w:r>
      <w:r w:rsidR="0070396E" w:rsidRPr="00A94288">
        <w:rPr>
          <w:rFonts w:ascii="Georgia" w:hAnsi="Georgia"/>
          <w:sz w:val="22"/>
          <w:szCs w:val="22"/>
        </w:rPr>
        <w:t xml:space="preserve"> ανήλθαν σε </w:t>
      </w:r>
      <w:r w:rsidR="00551786" w:rsidRPr="00A94288">
        <w:rPr>
          <w:rFonts w:ascii="Georgia" w:hAnsi="Georgia"/>
          <w:sz w:val="22"/>
          <w:szCs w:val="22"/>
        </w:rPr>
        <w:t>46,4</w:t>
      </w:r>
      <w:r w:rsidR="0070396E" w:rsidRPr="00A94288">
        <w:rPr>
          <w:rFonts w:ascii="Georgia" w:hAnsi="Georgia"/>
          <w:sz w:val="22"/>
          <w:szCs w:val="22"/>
        </w:rPr>
        <w:t xml:space="preserve"> δις σημειώνοντας </w:t>
      </w:r>
      <w:r w:rsidR="00551786" w:rsidRPr="00A94288">
        <w:rPr>
          <w:rFonts w:ascii="Georgia" w:hAnsi="Georgia"/>
          <w:sz w:val="22"/>
          <w:szCs w:val="22"/>
        </w:rPr>
        <w:t xml:space="preserve">αύξηση </w:t>
      </w:r>
      <w:r w:rsidR="0070396E" w:rsidRPr="00A94288">
        <w:rPr>
          <w:rFonts w:ascii="Georgia" w:hAnsi="Georgia"/>
          <w:sz w:val="22"/>
          <w:szCs w:val="22"/>
        </w:rPr>
        <w:t xml:space="preserve">κατά </w:t>
      </w:r>
      <w:r w:rsidR="00551786" w:rsidRPr="00A94288">
        <w:rPr>
          <w:rFonts w:ascii="Georgia" w:hAnsi="Georgia"/>
          <w:sz w:val="22"/>
          <w:szCs w:val="22"/>
        </w:rPr>
        <w:t>3,5</w:t>
      </w:r>
      <w:r w:rsidR="0070396E" w:rsidRPr="00A94288">
        <w:rPr>
          <w:rFonts w:ascii="Georgia" w:hAnsi="Georgia"/>
          <w:sz w:val="22"/>
          <w:szCs w:val="22"/>
        </w:rPr>
        <w:t>% έναντι του 201</w:t>
      </w:r>
      <w:r w:rsidR="00551786" w:rsidRPr="00A94288">
        <w:rPr>
          <w:rFonts w:ascii="Georgia" w:hAnsi="Georgia"/>
          <w:sz w:val="22"/>
          <w:szCs w:val="22"/>
        </w:rPr>
        <w:t>3</w:t>
      </w:r>
      <w:r w:rsidR="0070396E" w:rsidRPr="00A94288">
        <w:rPr>
          <w:rFonts w:ascii="Georgia" w:hAnsi="Georgia"/>
          <w:sz w:val="22"/>
          <w:szCs w:val="22"/>
        </w:rPr>
        <w:t xml:space="preserve">. Το μερίδιο των βιολογικών εσόδων επί συνόλου αγροτικών εσόδων </w:t>
      </w:r>
      <w:r w:rsidR="00340FBA" w:rsidRPr="00A94288">
        <w:rPr>
          <w:rFonts w:ascii="Georgia" w:hAnsi="Georgia"/>
          <w:sz w:val="22"/>
          <w:szCs w:val="22"/>
        </w:rPr>
        <w:t>ανήλθε</w:t>
      </w:r>
      <w:r w:rsidR="0070396E" w:rsidRPr="00A94288">
        <w:rPr>
          <w:rFonts w:ascii="Georgia" w:hAnsi="Georgia"/>
          <w:sz w:val="22"/>
          <w:szCs w:val="22"/>
        </w:rPr>
        <w:t xml:space="preserve"> σε 3,</w:t>
      </w:r>
      <w:r w:rsidR="00551786" w:rsidRPr="00A94288">
        <w:rPr>
          <w:rFonts w:ascii="Georgia" w:hAnsi="Georgia"/>
          <w:sz w:val="22"/>
          <w:szCs w:val="22"/>
        </w:rPr>
        <w:t>4</w:t>
      </w:r>
      <w:r w:rsidR="0070396E" w:rsidRPr="00A94288">
        <w:rPr>
          <w:rFonts w:ascii="Georgia" w:hAnsi="Georgia"/>
          <w:sz w:val="22"/>
          <w:szCs w:val="22"/>
        </w:rPr>
        <w:t>%</w:t>
      </w:r>
      <w:r w:rsidR="00551786" w:rsidRPr="00A94288">
        <w:rPr>
          <w:rFonts w:ascii="Georgia" w:hAnsi="Georgia"/>
          <w:sz w:val="22"/>
          <w:szCs w:val="22"/>
        </w:rPr>
        <w:t xml:space="preserve"> (όσο και το 2013)</w:t>
      </w:r>
      <w:r w:rsidR="0070396E" w:rsidRPr="00A94288">
        <w:rPr>
          <w:rFonts w:ascii="Georgia" w:hAnsi="Georgia"/>
          <w:sz w:val="22"/>
          <w:szCs w:val="22"/>
        </w:rPr>
        <w:t>.</w:t>
      </w:r>
    </w:p>
    <w:p w:rsidR="0070396E" w:rsidRPr="00A94288" w:rsidRDefault="0070396E" w:rsidP="00EF001E">
      <w:pPr>
        <w:rPr>
          <w:rFonts w:ascii="Georgia" w:hAnsi="Georgia"/>
          <w:sz w:val="22"/>
          <w:szCs w:val="22"/>
        </w:rPr>
      </w:pPr>
    </w:p>
    <w:p w:rsidR="00B3080B" w:rsidRPr="00A94288" w:rsidRDefault="00B3080B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Η κατανομή των εσόδων των παραγωγών προήλθε κατά 21,9% από φρούτα και λαχανικά, 21% από το γάλα, 16,1% από κρέας, 13,8% από αυγά, 14,7% από δημητριακά και 12,5% από λοιπά προϊόντα. </w:t>
      </w:r>
    </w:p>
    <w:p w:rsidR="00B3080B" w:rsidRPr="00A94288" w:rsidRDefault="00B3080B" w:rsidP="00EF001E">
      <w:pPr>
        <w:rPr>
          <w:rFonts w:ascii="Georgia" w:hAnsi="Georgia"/>
          <w:sz w:val="22"/>
          <w:szCs w:val="22"/>
        </w:rPr>
      </w:pPr>
    </w:p>
    <w:p w:rsidR="00B3080B" w:rsidRPr="00A94288" w:rsidRDefault="00B3080B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>Η μεγαλύτερη αύξηση των εσόδων των παραγωγών προήλθε</w:t>
      </w:r>
      <w:r w:rsidR="00A62FAE" w:rsidRPr="00A94288">
        <w:rPr>
          <w:rFonts w:ascii="Georgia" w:hAnsi="Georgia"/>
          <w:sz w:val="22"/>
          <w:szCs w:val="22"/>
        </w:rPr>
        <w:t xml:space="preserve"> από τα αυγά (+23%)</w:t>
      </w:r>
      <w:r w:rsidRPr="00A94288">
        <w:rPr>
          <w:rFonts w:ascii="Georgia" w:hAnsi="Georgia"/>
          <w:sz w:val="22"/>
          <w:szCs w:val="22"/>
        </w:rPr>
        <w:t xml:space="preserve"> </w:t>
      </w:r>
      <w:r w:rsidR="00A62FAE" w:rsidRPr="00A94288">
        <w:rPr>
          <w:rFonts w:ascii="Georgia" w:hAnsi="Georgia"/>
          <w:sz w:val="22"/>
          <w:szCs w:val="22"/>
        </w:rPr>
        <w:t xml:space="preserve">και </w:t>
      </w:r>
      <w:r w:rsidRPr="00A94288">
        <w:rPr>
          <w:rFonts w:ascii="Georgia" w:hAnsi="Georgia"/>
          <w:sz w:val="22"/>
          <w:szCs w:val="22"/>
        </w:rPr>
        <w:t>το γάλα (+11%)</w:t>
      </w:r>
      <w:r w:rsidR="00A62FAE" w:rsidRPr="00A94288">
        <w:rPr>
          <w:rFonts w:ascii="Georgia" w:hAnsi="Georgia"/>
          <w:sz w:val="22"/>
          <w:szCs w:val="22"/>
        </w:rPr>
        <w:t xml:space="preserve">. Στα </w:t>
      </w:r>
      <w:r w:rsidRPr="00A94288">
        <w:rPr>
          <w:rFonts w:ascii="Georgia" w:hAnsi="Georgia"/>
          <w:sz w:val="22"/>
          <w:szCs w:val="22"/>
        </w:rPr>
        <w:t xml:space="preserve">δημητριακά </w:t>
      </w:r>
      <w:r w:rsidR="00A62FAE" w:rsidRPr="00A94288">
        <w:rPr>
          <w:rFonts w:ascii="Georgia" w:hAnsi="Georgia"/>
          <w:sz w:val="22"/>
          <w:szCs w:val="22"/>
        </w:rPr>
        <w:t xml:space="preserve">υπηρξε αύξηση </w:t>
      </w:r>
      <w:r w:rsidRPr="00A94288">
        <w:rPr>
          <w:rFonts w:ascii="Georgia" w:hAnsi="Georgia"/>
          <w:sz w:val="22"/>
          <w:szCs w:val="22"/>
        </w:rPr>
        <w:t>+8%</w:t>
      </w:r>
      <w:r w:rsidR="00A62FAE" w:rsidRPr="00A94288">
        <w:rPr>
          <w:rFonts w:ascii="Georgia" w:hAnsi="Georgia"/>
          <w:sz w:val="22"/>
          <w:szCs w:val="22"/>
        </w:rPr>
        <w:t>, στα φρούτα 3%, ενώ στα λαχανικά σημειώθηκε μείωση των εσόδων κατά 4%.</w:t>
      </w:r>
    </w:p>
    <w:p w:rsidR="00A62FAE" w:rsidRPr="00A94288" w:rsidRDefault="00A62FAE" w:rsidP="00EF001E">
      <w:pPr>
        <w:rPr>
          <w:rFonts w:ascii="Georgia" w:hAnsi="Georgia"/>
          <w:sz w:val="22"/>
          <w:szCs w:val="22"/>
        </w:rPr>
      </w:pPr>
    </w:p>
    <w:p w:rsidR="00A62FAE" w:rsidRPr="00A94288" w:rsidRDefault="00A62FAE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Συνολικά οι τιμές παραγωγού </w:t>
      </w:r>
      <w:r w:rsidR="008F56C6">
        <w:rPr>
          <w:rFonts w:ascii="Georgia" w:hAnsi="Georgia"/>
          <w:sz w:val="22"/>
          <w:szCs w:val="22"/>
        </w:rPr>
        <w:t xml:space="preserve">για πολλά </w:t>
      </w:r>
      <w:r w:rsidRPr="00A94288">
        <w:rPr>
          <w:rFonts w:ascii="Georgia" w:hAnsi="Georgia"/>
          <w:sz w:val="22"/>
          <w:szCs w:val="22"/>
        </w:rPr>
        <w:t>βιολογικ</w:t>
      </w:r>
      <w:r w:rsidR="008F56C6">
        <w:rPr>
          <w:rFonts w:ascii="Georgia" w:hAnsi="Georgia"/>
          <w:sz w:val="22"/>
          <w:szCs w:val="22"/>
        </w:rPr>
        <w:t xml:space="preserve">ά </w:t>
      </w:r>
      <w:r w:rsidR="00237EE7" w:rsidRPr="00A94288">
        <w:rPr>
          <w:rFonts w:ascii="Georgia" w:hAnsi="Georgia"/>
          <w:sz w:val="22"/>
          <w:szCs w:val="22"/>
        </w:rPr>
        <w:t>προϊόντ</w:t>
      </w:r>
      <w:r w:rsidR="008F56C6">
        <w:rPr>
          <w:rFonts w:ascii="Georgia" w:hAnsi="Georgia"/>
          <w:sz w:val="22"/>
          <w:szCs w:val="22"/>
        </w:rPr>
        <w:t>α</w:t>
      </w:r>
      <w:r w:rsidR="00237EE7" w:rsidRPr="00A94288">
        <w:rPr>
          <w:rFonts w:ascii="Georgia" w:hAnsi="Georgia"/>
          <w:sz w:val="22"/>
          <w:szCs w:val="22"/>
        </w:rPr>
        <w:t xml:space="preserve"> </w:t>
      </w:r>
      <w:r w:rsidRPr="00A94288">
        <w:rPr>
          <w:rFonts w:ascii="Georgia" w:hAnsi="Georgia"/>
          <w:sz w:val="22"/>
          <w:szCs w:val="22"/>
        </w:rPr>
        <w:t xml:space="preserve">παρέμειναν σταθερές. Μεγάλες διαφοροποιήσεις παρουσιάστηκαν στο βιολογικό γάλα, του οποίου η τιμή διαμορφώθηκε σε 48 λεπτά ανά κιλό έναντι 20 λεπτών ανά κιλό συμβατικού γάλακτος και στο χοιρινό κρέας του οποίου η τιμή διαμορφώθηκε σε 3,6-3,7 ευρώ ανά κιλό βιολογικού προϊόντος έναντι 1,3 ευρώ ανά κιλό συμβατικού προϊόντος. </w:t>
      </w:r>
    </w:p>
    <w:p w:rsidR="00B3080B" w:rsidRPr="00A94288" w:rsidRDefault="00B3080B" w:rsidP="00EF001E">
      <w:pPr>
        <w:rPr>
          <w:rFonts w:ascii="Georgia" w:hAnsi="Georgia"/>
          <w:sz w:val="22"/>
          <w:szCs w:val="22"/>
        </w:rPr>
      </w:pPr>
    </w:p>
    <w:p w:rsidR="00E64670" w:rsidRPr="00A94288" w:rsidRDefault="00B23034" w:rsidP="00B23034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lastRenderedPageBreak/>
        <w:t xml:space="preserve">Ο </w:t>
      </w:r>
      <w:r w:rsidRPr="00A94288">
        <w:rPr>
          <w:rFonts w:ascii="Georgia" w:hAnsi="Georgia"/>
          <w:b/>
          <w:i/>
          <w:sz w:val="22"/>
          <w:szCs w:val="22"/>
        </w:rPr>
        <w:t>κύκλος πωλήσεων</w:t>
      </w:r>
      <w:r w:rsidRPr="00A94288">
        <w:rPr>
          <w:rFonts w:ascii="Georgia" w:hAnsi="Georgia"/>
          <w:sz w:val="22"/>
          <w:szCs w:val="22"/>
        </w:rPr>
        <w:t xml:space="preserve"> </w:t>
      </w:r>
      <w:r w:rsidR="00FB3328" w:rsidRPr="00A94288">
        <w:rPr>
          <w:rFonts w:ascii="Georgia" w:hAnsi="Georgia"/>
          <w:sz w:val="22"/>
          <w:szCs w:val="22"/>
        </w:rPr>
        <w:t>για το</w:t>
      </w:r>
      <w:r w:rsidR="00340FBA" w:rsidRPr="00A94288">
        <w:rPr>
          <w:rFonts w:ascii="Georgia" w:hAnsi="Georgia"/>
          <w:sz w:val="22"/>
          <w:szCs w:val="22"/>
        </w:rPr>
        <w:t xml:space="preserve">ν κλάδο εμπορίας </w:t>
      </w:r>
      <w:r w:rsidRPr="00A94288">
        <w:rPr>
          <w:rFonts w:ascii="Georgia" w:hAnsi="Georgia"/>
          <w:sz w:val="22"/>
          <w:szCs w:val="22"/>
        </w:rPr>
        <w:t xml:space="preserve">βιολογικών </w:t>
      </w:r>
      <w:r w:rsidR="00C73879" w:rsidRPr="00A94288">
        <w:rPr>
          <w:rFonts w:ascii="Georgia" w:hAnsi="Georgia"/>
          <w:sz w:val="22"/>
          <w:szCs w:val="22"/>
        </w:rPr>
        <w:t>προϊόντων</w:t>
      </w:r>
      <w:r w:rsidRPr="00A94288">
        <w:rPr>
          <w:rFonts w:ascii="Georgia" w:hAnsi="Georgia"/>
          <w:sz w:val="22"/>
          <w:szCs w:val="22"/>
        </w:rPr>
        <w:t xml:space="preserve"> το 201</w:t>
      </w:r>
      <w:r w:rsidR="00551786" w:rsidRPr="00A94288">
        <w:rPr>
          <w:rFonts w:ascii="Georgia" w:hAnsi="Georgia"/>
          <w:sz w:val="22"/>
          <w:szCs w:val="22"/>
        </w:rPr>
        <w:t>5</w:t>
      </w:r>
      <w:r w:rsidRPr="00A94288">
        <w:rPr>
          <w:rFonts w:ascii="Georgia" w:hAnsi="Georgia"/>
          <w:sz w:val="22"/>
          <w:szCs w:val="22"/>
        </w:rPr>
        <w:t xml:space="preserve"> στη Γερμανία ανήλθε σε </w:t>
      </w:r>
      <w:r w:rsidR="00551786" w:rsidRPr="00A94288">
        <w:rPr>
          <w:rFonts w:ascii="Georgia" w:hAnsi="Georgia"/>
          <w:sz w:val="22"/>
          <w:szCs w:val="22"/>
        </w:rPr>
        <w:t>8,62</w:t>
      </w:r>
      <w:r w:rsidRPr="00A94288">
        <w:rPr>
          <w:rFonts w:ascii="Georgia" w:hAnsi="Georgia"/>
          <w:sz w:val="22"/>
          <w:szCs w:val="22"/>
        </w:rPr>
        <w:t xml:space="preserve"> δισ. ευρώ (+</w:t>
      </w:r>
      <w:r w:rsidR="00551786" w:rsidRPr="00A94288">
        <w:rPr>
          <w:rFonts w:ascii="Georgia" w:hAnsi="Georgia"/>
          <w:sz w:val="22"/>
          <w:szCs w:val="22"/>
        </w:rPr>
        <w:t>11</w:t>
      </w:r>
      <w:r w:rsidRPr="00A94288">
        <w:rPr>
          <w:rFonts w:ascii="Georgia" w:hAnsi="Georgia"/>
          <w:sz w:val="22"/>
          <w:szCs w:val="22"/>
        </w:rPr>
        <w:t>% έναντι του 201</w:t>
      </w:r>
      <w:r w:rsidR="00551786" w:rsidRPr="00A94288">
        <w:rPr>
          <w:rFonts w:ascii="Georgia" w:hAnsi="Georgia"/>
          <w:sz w:val="22"/>
          <w:szCs w:val="22"/>
        </w:rPr>
        <w:t>4</w:t>
      </w:r>
      <w:r w:rsidR="00E331FA" w:rsidRPr="00A94288">
        <w:rPr>
          <w:rFonts w:ascii="Georgia" w:hAnsi="Georgia"/>
          <w:sz w:val="22"/>
          <w:szCs w:val="22"/>
        </w:rPr>
        <w:t>) και</w:t>
      </w:r>
      <w:r w:rsidR="00726BF3" w:rsidRPr="00A94288">
        <w:rPr>
          <w:rFonts w:ascii="Georgia" w:hAnsi="Georgia"/>
          <w:sz w:val="22"/>
          <w:szCs w:val="22"/>
        </w:rPr>
        <w:t xml:space="preserve"> οφείλεται τόσο σε αύξηση τιμών όσο και αγοραζόμενων ποσοτήτων</w:t>
      </w:r>
      <w:r w:rsidR="00732DF4" w:rsidRPr="00A94288">
        <w:rPr>
          <w:rFonts w:ascii="Georgia" w:hAnsi="Georgia"/>
          <w:sz w:val="22"/>
          <w:szCs w:val="22"/>
        </w:rPr>
        <w:t>.</w:t>
      </w:r>
      <w:r w:rsidR="00F55869" w:rsidRPr="00A94288">
        <w:rPr>
          <w:rFonts w:ascii="Georgia" w:hAnsi="Georgia"/>
          <w:sz w:val="22"/>
          <w:szCs w:val="22"/>
        </w:rPr>
        <w:t xml:space="preserve"> Σύμφωνα με το ΑΜΙ, οι τιμές βιολογικών προϊόντων το 2015 σημείωσαν αύξηση 3,1% έναντι του 2014 (λόγω καιρικών συνθηκών και στενότητας τροφοδοσίας). Ιδιαίτερα μεγάλες αυξήσεις παρατηρήθηκαν στις τιμές των βιολογικών λαχανικών (+7%) και των διαφόρων ποικιλιών μούρων (+14%).</w:t>
      </w:r>
    </w:p>
    <w:p w:rsidR="00726BF3" w:rsidRPr="00A94288" w:rsidRDefault="00726BF3" w:rsidP="00B23034">
      <w:pPr>
        <w:rPr>
          <w:rFonts w:ascii="Georgia" w:hAnsi="Georgia"/>
          <w:sz w:val="22"/>
          <w:szCs w:val="22"/>
        </w:rPr>
      </w:pPr>
    </w:p>
    <w:p w:rsidR="00237EE7" w:rsidRPr="00A94288" w:rsidRDefault="00237EE7" w:rsidP="00B23034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Κατά το 2015 οι καταναλωτές αγόρασαν 11% περισσότερο βιολογικό γάλα (έναντι του 2014) 6% περισσότερο γιαούρτι, 20% περισσότερο </w:t>
      </w:r>
      <w:r w:rsidRPr="00A94288">
        <w:rPr>
          <w:rFonts w:ascii="Georgia" w:hAnsi="Georgia"/>
          <w:sz w:val="22"/>
          <w:szCs w:val="22"/>
          <w:lang w:val="de-DE"/>
        </w:rPr>
        <w:t>quark</w:t>
      </w:r>
      <w:r w:rsidRPr="00A94288">
        <w:rPr>
          <w:rFonts w:ascii="Georgia" w:hAnsi="Georgia"/>
          <w:sz w:val="22"/>
          <w:szCs w:val="22"/>
        </w:rPr>
        <w:t xml:space="preserve">,  8% περισσότερο κασέρι και 5% περισσότερο βούτυρο. Κατά το 2015 το έλλειμμα της παραγωγής βιολογικού γάλακτος  στη Γερμανία καλύφθηκε </w:t>
      </w:r>
      <w:r w:rsidR="008F56C6">
        <w:rPr>
          <w:rFonts w:ascii="Georgia" w:hAnsi="Georgia"/>
          <w:sz w:val="22"/>
          <w:szCs w:val="22"/>
        </w:rPr>
        <w:t>με</w:t>
      </w:r>
      <w:r w:rsidRPr="00A94288">
        <w:rPr>
          <w:rFonts w:ascii="Georgia" w:hAnsi="Georgia"/>
          <w:sz w:val="22"/>
          <w:szCs w:val="22"/>
        </w:rPr>
        <w:t xml:space="preserve"> εισαγωγές </w:t>
      </w:r>
      <w:r w:rsidR="00E362B8" w:rsidRPr="00A94288">
        <w:rPr>
          <w:rFonts w:ascii="Georgia" w:hAnsi="Georgia"/>
          <w:sz w:val="22"/>
          <w:szCs w:val="22"/>
        </w:rPr>
        <w:t>από Δανία και Αυστρία.</w:t>
      </w:r>
    </w:p>
    <w:p w:rsidR="00237EE7" w:rsidRPr="00A94288" w:rsidRDefault="00237EE7" w:rsidP="00B23034">
      <w:pPr>
        <w:rPr>
          <w:rFonts w:ascii="Georgia" w:hAnsi="Georgia"/>
          <w:sz w:val="22"/>
          <w:szCs w:val="22"/>
        </w:rPr>
      </w:pPr>
    </w:p>
    <w:p w:rsidR="0028148E" w:rsidRPr="00A94288" w:rsidRDefault="0039080E" w:rsidP="00001A35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Το </w:t>
      </w:r>
      <w:r w:rsidR="00732DF4" w:rsidRPr="00A94288">
        <w:rPr>
          <w:rFonts w:ascii="Georgia" w:hAnsi="Georgia"/>
          <w:sz w:val="22"/>
          <w:szCs w:val="22"/>
        </w:rPr>
        <w:t>55% του κύκλου πωλήσεων βιολογικών προϊόντων προήλθε</w:t>
      </w:r>
      <w:r w:rsidR="008F56C6">
        <w:rPr>
          <w:rFonts w:ascii="Georgia" w:hAnsi="Georgia"/>
          <w:sz w:val="22"/>
          <w:szCs w:val="22"/>
        </w:rPr>
        <w:t xml:space="preserve"> από καταστήματα λιανεμπορίου (</w:t>
      </w:r>
      <w:r w:rsidR="008F56C6" w:rsidRPr="00A94288">
        <w:rPr>
          <w:rFonts w:ascii="Georgia" w:hAnsi="Georgia"/>
          <w:sz w:val="22"/>
          <w:szCs w:val="22"/>
        </w:rPr>
        <w:t xml:space="preserve">αύξηση των πωλήσεων τους κατά </w:t>
      </w:r>
      <w:r w:rsidR="00732DF4" w:rsidRPr="00A94288">
        <w:rPr>
          <w:rFonts w:ascii="Georgia" w:hAnsi="Georgia"/>
          <w:sz w:val="22"/>
          <w:szCs w:val="22"/>
        </w:rPr>
        <w:t xml:space="preserve">13,2% </w:t>
      </w:r>
      <w:r w:rsidR="008F56C6" w:rsidRPr="00A94288">
        <w:rPr>
          <w:rFonts w:ascii="Georgia" w:hAnsi="Georgia"/>
          <w:sz w:val="22"/>
          <w:szCs w:val="22"/>
        </w:rPr>
        <w:t>έναντι του 2014</w:t>
      </w:r>
      <w:r w:rsidR="008F56C6">
        <w:rPr>
          <w:rFonts w:ascii="Georgia" w:hAnsi="Georgia"/>
          <w:sz w:val="22"/>
          <w:szCs w:val="22"/>
        </w:rPr>
        <w:t xml:space="preserve">), </w:t>
      </w:r>
      <w:r w:rsidR="00732DF4" w:rsidRPr="00A94288">
        <w:rPr>
          <w:rFonts w:ascii="Georgia" w:hAnsi="Georgia"/>
          <w:sz w:val="22"/>
          <w:szCs w:val="22"/>
        </w:rPr>
        <w:t xml:space="preserve">το </w:t>
      </w:r>
      <w:r w:rsidRPr="00A94288">
        <w:rPr>
          <w:rFonts w:ascii="Georgia" w:hAnsi="Georgia"/>
          <w:sz w:val="22"/>
          <w:szCs w:val="22"/>
        </w:rPr>
        <w:t>3</w:t>
      </w:r>
      <w:r w:rsidR="00551786" w:rsidRPr="00A94288">
        <w:rPr>
          <w:rFonts w:ascii="Georgia" w:hAnsi="Georgia"/>
          <w:sz w:val="22"/>
          <w:szCs w:val="22"/>
        </w:rPr>
        <w:t>1</w:t>
      </w:r>
      <w:r w:rsidR="00001A35" w:rsidRPr="00A94288">
        <w:rPr>
          <w:rFonts w:ascii="Georgia" w:hAnsi="Georgia"/>
          <w:sz w:val="22"/>
          <w:szCs w:val="22"/>
        </w:rPr>
        <w:t xml:space="preserve">% </w:t>
      </w:r>
      <w:r w:rsidR="008235FC" w:rsidRPr="00A94288">
        <w:rPr>
          <w:rFonts w:ascii="Georgia" w:hAnsi="Georgia"/>
          <w:sz w:val="22"/>
          <w:szCs w:val="22"/>
        </w:rPr>
        <w:t>από τα εξειδικευμένα καταστήματα βιολογικών προϊόντων</w:t>
      </w:r>
      <w:r w:rsidR="00E64670" w:rsidRPr="00A94288">
        <w:rPr>
          <w:rFonts w:ascii="Georgia" w:hAnsi="Georgia"/>
          <w:sz w:val="22"/>
          <w:szCs w:val="22"/>
        </w:rPr>
        <w:t xml:space="preserve"> (</w:t>
      </w:r>
      <w:r w:rsidR="008F56C6">
        <w:rPr>
          <w:rFonts w:ascii="Georgia" w:hAnsi="Georgia"/>
          <w:sz w:val="22"/>
          <w:szCs w:val="22"/>
        </w:rPr>
        <w:t>+</w:t>
      </w:r>
      <w:r w:rsidR="00551786" w:rsidRPr="00A94288">
        <w:rPr>
          <w:rFonts w:ascii="Georgia" w:hAnsi="Georgia"/>
          <w:sz w:val="22"/>
          <w:szCs w:val="22"/>
        </w:rPr>
        <w:t>10</w:t>
      </w:r>
      <w:r w:rsidR="00E64670" w:rsidRPr="00A94288">
        <w:rPr>
          <w:rFonts w:ascii="Georgia" w:hAnsi="Georgia"/>
          <w:sz w:val="22"/>
          <w:szCs w:val="22"/>
        </w:rPr>
        <w:t>%)</w:t>
      </w:r>
      <w:r w:rsidR="008235FC" w:rsidRPr="00A94288">
        <w:rPr>
          <w:rFonts w:ascii="Georgia" w:hAnsi="Georgia"/>
          <w:sz w:val="22"/>
          <w:szCs w:val="22"/>
        </w:rPr>
        <w:t>, και 1</w:t>
      </w:r>
      <w:r w:rsidR="00551786" w:rsidRPr="00A94288">
        <w:rPr>
          <w:rFonts w:ascii="Georgia" w:hAnsi="Georgia"/>
          <w:sz w:val="22"/>
          <w:szCs w:val="22"/>
        </w:rPr>
        <w:t>3</w:t>
      </w:r>
      <w:r w:rsidR="008235FC" w:rsidRPr="00A94288">
        <w:rPr>
          <w:rFonts w:ascii="Georgia" w:hAnsi="Georgia"/>
          <w:sz w:val="22"/>
          <w:szCs w:val="22"/>
        </w:rPr>
        <w:t>% από άλλα καταστήματα (</w:t>
      </w:r>
      <w:r w:rsidR="004B2238" w:rsidRPr="00A94288">
        <w:rPr>
          <w:rFonts w:ascii="Georgia" w:hAnsi="Georgia"/>
          <w:sz w:val="22"/>
          <w:szCs w:val="22"/>
        </w:rPr>
        <w:t xml:space="preserve">πχ. </w:t>
      </w:r>
      <w:r w:rsidR="008235FC" w:rsidRPr="00A94288">
        <w:rPr>
          <w:rFonts w:ascii="Georgia" w:hAnsi="Georgia"/>
          <w:sz w:val="22"/>
          <w:szCs w:val="22"/>
        </w:rPr>
        <w:t xml:space="preserve">αρτοπωλεία, κρεοπωλεία </w:t>
      </w:r>
      <w:r w:rsidR="00E64670" w:rsidRPr="00A94288">
        <w:rPr>
          <w:rFonts w:ascii="Georgia" w:hAnsi="Georgia"/>
          <w:sz w:val="22"/>
          <w:szCs w:val="22"/>
        </w:rPr>
        <w:t xml:space="preserve">τα οποία </w:t>
      </w:r>
      <w:r w:rsidR="00551786" w:rsidRPr="00A94288">
        <w:rPr>
          <w:rFonts w:ascii="Georgia" w:hAnsi="Georgia"/>
          <w:sz w:val="22"/>
          <w:szCs w:val="22"/>
        </w:rPr>
        <w:t>αύξησαν</w:t>
      </w:r>
      <w:r w:rsidR="00E64670" w:rsidRPr="00A94288">
        <w:rPr>
          <w:rFonts w:ascii="Georgia" w:hAnsi="Georgia"/>
          <w:sz w:val="22"/>
          <w:szCs w:val="22"/>
        </w:rPr>
        <w:t xml:space="preserve"> τις πωλήσεις τους κατά </w:t>
      </w:r>
      <w:r w:rsidR="00551786" w:rsidRPr="00A94288">
        <w:rPr>
          <w:rFonts w:ascii="Georgia" w:hAnsi="Georgia"/>
          <w:sz w:val="22"/>
          <w:szCs w:val="22"/>
        </w:rPr>
        <w:t>5</w:t>
      </w:r>
      <w:r w:rsidR="00FB3328" w:rsidRPr="00A94288">
        <w:rPr>
          <w:rFonts w:ascii="Georgia" w:hAnsi="Georgia"/>
          <w:sz w:val="22"/>
          <w:szCs w:val="22"/>
        </w:rPr>
        <w:t>,6</w:t>
      </w:r>
      <w:r w:rsidR="00E64670" w:rsidRPr="00A94288">
        <w:rPr>
          <w:rFonts w:ascii="Georgia" w:hAnsi="Georgia"/>
          <w:sz w:val="22"/>
          <w:szCs w:val="22"/>
        </w:rPr>
        <w:t>%</w:t>
      </w:r>
      <w:r w:rsidR="008235FC" w:rsidRPr="00A94288">
        <w:rPr>
          <w:rFonts w:ascii="Georgia" w:hAnsi="Georgia"/>
          <w:sz w:val="22"/>
          <w:szCs w:val="22"/>
        </w:rPr>
        <w:t>).</w:t>
      </w:r>
      <w:r w:rsidR="00904069" w:rsidRPr="00A94288">
        <w:rPr>
          <w:rFonts w:ascii="Georgia" w:hAnsi="Georgia"/>
          <w:sz w:val="22"/>
          <w:szCs w:val="22"/>
        </w:rPr>
        <w:t xml:space="preserve"> </w:t>
      </w:r>
    </w:p>
    <w:p w:rsidR="0028148E" w:rsidRPr="00A94288" w:rsidRDefault="0028148E" w:rsidP="00001A35">
      <w:pPr>
        <w:rPr>
          <w:rFonts w:ascii="Georgia" w:hAnsi="Georgia"/>
          <w:sz w:val="22"/>
          <w:szCs w:val="22"/>
        </w:rPr>
      </w:pPr>
    </w:p>
    <w:p w:rsidR="0037168E" w:rsidRPr="00A94288" w:rsidRDefault="0037168E" w:rsidP="00001A35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>Ιδιαίτερα όσον αφορά στο χονδρεμπόριο βιολογικών π</w:t>
      </w:r>
      <w:r w:rsidR="00551786" w:rsidRPr="00A94288">
        <w:rPr>
          <w:rFonts w:ascii="Georgia" w:hAnsi="Georgia"/>
          <w:sz w:val="22"/>
          <w:szCs w:val="22"/>
        </w:rPr>
        <w:t>ροϊόντων</w:t>
      </w:r>
      <w:r w:rsidR="00A62FAE" w:rsidRPr="00A94288">
        <w:rPr>
          <w:rFonts w:ascii="Georgia" w:hAnsi="Georgia"/>
          <w:sz w:val="22"/>
          <w:szCs w:val="22"/>
        </w:rPr>
        <w:t>,</w:t>
      </w:r>
      <w:r w:rsidR="00551786" w:rsidRPr="00A94288">
        <w:rPr>
          <w:rFonts w:ascii="Georgia" w:hAnsi="Georgia"/>
          <w:sz w:val="22"/>
          <w:szCs w:val="22"/>
        </w:rPr>
        <w:t xml:space="preserve"> σημειώνεται ότι το 2015</w:t>
      </w:r>
      <w:r w:rsidRPr="00A94288">
        <w:rPr>
          <w:rFonts w:ascii="Georgia" w:hAnsi="Georgia"/>
          <w:sz w:val="22"/>
          <w:szCs w:val="22"/>
        </w:rPr>
        <w:t xml:space="preserve"> ο κύκλος πωλήσεων ανήλθε σε 1,</w:t>
      </w:r>
      <w:r w:rsidR="00551786" w:rsidRPr="00A94288">
        <w:rPr>
          <w:rFonts w:ascii="Georgia" w:hAnsi="Georgia"/>
          <w:sz w:val="22"/>
          <w:szCs w:val="22"/>
        </w:rPr>
        <w:t>55</w:t>
      </w:r>
      <w:r w:rsidRPr="00A94288">
        <w:rPr>
          <w:rFonts w:ascii="Georgia" w:hAnsi="Georgia"/>
          <w:sz w:val="22"/>
          <w:szCs w:val="22"/>
        </w:rPr>
        <w:t xml:space="preserve"> δις (έναντι </w:t>
      </w:r>
      <w:r w:rsidR="00A62FAE" w:rsidRPr="00A94288">
        <w:rPr>
          <w:rFonts w:ascii="Georgia" w:hAnsi="Georgia"/>
          <w:sz w:val="22"/>
          <w:szCs w:val="22"/>
        </w:rPr>
        <w:t>1,39 δις το 2014, αύξηση +11,5%</w:t>
      </w:r>
      <w:r w:rsidRPr="00A94288">
        <w:rPr>
          <w:rFonts w:ascii="Georgia" w:hAnsi="Georgia"/>
          <w:sz w:val="22"/>
          <w:szCs w:val="22"/>
        </w:rPr>
        <w:t xml:space="preserve">) και προήλθε </w:t>
      </w:r>
      <w:r w:rsidR="00900C7B" w:rsidRPr="00A94288">
        <w:rPr>
          <w:rFonts w:ascii="Georgia" w:hAnsi="Georgia"/>
          <w:sz w:val="22"/>
          <w:szCs w:val="22"/>
        </w:rPr>
        <w:t xml:space="preserve">κατά 60,8% </w:t>
      </w:r>
      <w:r w:rsidRPr="00A94288">
        <w:rPr>
          <w:rFonts w:ascii="Georgia" w:hAnsi="Georgia"/>
          <w:sz w:val="22"/>
          <w:szCs w:val="22"/>
        </w:rPr>
        <w:t>α</w:t>
      </w:r>
      <w:r w:rsidR="00900C7B" w:rsidRPr="00A94288">
        <w:rPr>
          <w:rFonts w:ascii="Georgia" w:hAnsi="Georgia"/>
          <w:sz w:val="22"/>
          <w:szCs w:val="22"/>
        </w:rPr>
        <w:t>πό φρέσκα προϊόντα</w:t>
      </w:r>
      <w:r w:rsidRPr="00A94288">
        <w:rPr>
          <w:rFonts w:ascii="Georgia" w:hAnsi="Georgia"/>
          <w:sz w:val="22"/>
          <w:szCs w:val="22"/>
        </w:rPr>
        <w:t xml:space="preserve"> </w:t>
      </w:r>
      <w:r w:rsidR="00900C7B" w:rsidRPr="00A94288">
        <w:rPr>
          <w:rFonts w:ascii="Georgia" w:hAnsi="Georgia"/>
          <w:sz w:val="22"/>
          <w:szCs w:val="22"/>
        </w:rPr>
        <w:t>και κατά 39,2% από διατηρημένα τρόφιμα. Σημειώνεται ότι κατά την τελευταία 10ετία, ο κύκλος πωλήσεων του χονδρεμπορίου σημε</w:t>
      </w:r>
      <w:r w:rsidR="008F56C6">
        <w:rPr>
          <w:rFonts w:ascii="Georgia" w:hAnsi="Georgia"/>
          <w:sz w:val="22"/>
          <w:szCs w:val="22"/>
        </w:rPr>
        <w:t>ίω</w:t>
      </w:r>
      <w:r w:rsidR="00900C7B" w:rsidRPr="00A94288">
        <w:rPr>
          <w:rFonts w:ascii="Georgia" w:hAnsi="Georgia"/>
          <w:sz w:val="22"/>
          <w:szCs w:val="22"/>
        </w:rPr>
        <w:t xml:space="preserve">νε κατά μέσο όρο περισσότερο από 10% ετήσια αύξηση. Εκτιμάται επίσης ότι το 2% - 5% της ετήσιας αύξησης του κύκλου πωλήσεων οφείλεται σε τρόφιμα </w:t>
      </w:r>
      <w:r w:rsidR="00900C7B" w:rsidRPr="00A94288">
        <w:rPr>
          <w:rFonts w:ascii="Georgia" w:hAnsi="Georgia"/>
          <w:sz w:val="22"/>
          <w:szCs w:val="22"/>
          <w:lang w:val="de-DE"/>
        </w:rPr>
        <w:t>vegan</w:t>
      </w:r>
      <w:r w:rsidR="00900C7B" w:rsidRPr="00A94288">
        <w:rPr>
          <w:rFonts w:ascii="Georgia" w:hAnsi="Georgia"/>
          <w:sz w:val="22"/>
          <w:szCs w:val="22"/>
        </w:rPr>
        <w:t>.</w:t>
      </w:r>
    </w:p>
    <w:p w:rsidR="0037168E" w:rsidRPr="00A94288" w:rsidRDefault="0037168E" w:rsidP="00001A35">
      <w:pPr>
        <w:rPr>
          <w:rFonts w:ascii="Georgia" w:hAnsi="Georgia"/>
          <w:sz w:val="22"/>
          <w:szCs w:val="22"/>
        </w:rPr>
      </w:pPr>
    </w:p>
    <w:p w:rsidR="0037168E" w:rsidRPr="00A94288" w:rsidRDefault="0037168E" w:rsidP="00001A35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Οσον αφορά στο λιανεμπόριο βιολογικών </w:t>
      </w:r>
      <w:r w:rsidR="00C73879" w:rsidRPr="00A94288">
        <w:rPr>
          <w:rFonts w:ascii="Georgia" w:hAnsi="Georgia"/>
          <w:sz w:val="22"/>
          <w:szCs w:val="22"/>
        </w:rPr>
        <w:t>προϊόντων</w:t>
      </w:r>
      <w:r w:rsidRPr="00A94288">
        <w:rPr>
          <w:rFonts w:ascii="Georgia" w:hAnsi="Georgia"/>
          <w:sz w:val="22"/>
          <w:szCs w:val="22"/>
        </w:rPr>
        <w:t xml:space="preserve"> το 2014 καταγράφηκαν </w:t>
      </w:r>
      <w:r w:rsidR="00551786" w:rsidRPr="00A94288">
        <w:rPr>
          <w:rFonts w:ascii="Georgia" w:hAnsi="Georgia"/>
          <w:sz w:val="22"/>
          <w:szCs w:val="22"/>
        </w:rPr>
        <w:t>84</w:t>
      </w:r>
      <w:r w:rsidRPr="00A94288">
        <w:rPr>
          <w:rFonts w:ascii="Georgia" w:hAnsi="Georgia"/>
          <w:sz w:val="22"/>
          <w:szCs w:val="22"/>
        </w:rPr>
        <w:t xml:space="preserve"> </w:t>
      </w:r>
      <w:r w:rsidR="00340FBA" w:rsidRPr="00A94288">
        <w:rPr>
          <w:rFonts w:ascii="Georgia" w:hAnsi="Georgia"/>
          <w:sz w:val="22"/>
          <w:szCs w:val="22"/>
        </w:rPr>
        <w:t xml:space="preserve">εταιρείες που τερμάτισαν την λειτουργία τους </w:t>
      </w:r>
      <w:r w:rsidRPr="00A94288">
        <w:rPr>
          <w:rFonts w:ascii="Georgia" w:hAnsi="Georgia"/>
          <w:sz w:val="22"/>
          <w:szCs w:val="22"/>
        </w:rPr>
        <w:t xml:space="preserve">ενώ δημιουργήθηκαν την ίδια χρονική περίοδο </w:t>
      </w:r>
      <w:r w:rsidR="00551786" w:rsidRPr="00A94288">
        <w:rPr>
          <w:rFonts w:ascii="Georgia" w:hAnsi="Georgia"/>
          <w:sz w:val="22"/>
          <w:szCs w:val="22"/>
        </w:rPr>
        <w:t>93</w:t>
      </w:r>
      <w:r w:rsidRPr="00A94288">
        <w:rPr>
          <w:rFonts w:ascii="Georgia" w:hAnsi="Georgia"/>
          <w:sz w:val="22"/>
          <w:szCs w:val="22"/>
        </w:rPr>
        <w:t xml:space="preserve"> νέες </w:t>
      </w:r>
      <w:r w:rsidR="00340FBA" w:rsidRPr="00A94288">
        <w:rPr>
          <w:rFonts w:ascii="Georgia" w:hAnsi="Georgia"/>
          <w:sz w:val="22"/>
          <w:szCs w:val="22"/>
        </w:rPr>
        <w:t>εταιρείες</w:t>
      </w:r>
      <w:r w:rsidRPr="00A94288">
        <w:rPr>
          <w:rFonts w:ascii="Georgia" w:hAnsi="Georgia"/>
          <w:sz w:val="22"/>
          <w:szCs w:val="22"/>
        </w:rPr>
        <w:t xml:space="preserve">. </w:t>
      </w:r>
      <w:r w:rsidR="00C73879" w:rsidRPr="00A94288">
        <w:rPr>
          <w:rFonts w:ascii="Georgia" w:hAnsi="Georgia"/>
          <w:sz w:val="22"/>
          <w:szCs w:val="22"/>
        </w:rPr>
        <w:t>Η τάση που παρατηρείται είναι η ίδρυση μεγάλων καταστημάτων στα αστικά κέντρα και το κλείσιμο μικρών μονάδων στην περιφέρεια.</w:t>
      </w:r>
      <w:r w:rsidR="00340FBA" w:rsidRPr="00A94288">
        <w:rPr>
          <w:rFonts w:ascii="Georgia" w:hAnsi="Georgia"/>
          <w:sz w:val="22"/>
          <w:szCs w:val="22"/>
        </w:rPr>
        <w:t xml:space="preserve"> </w:t>
      </w:r>
      <w:r w:rsidRPr="00A94288">
        <w:rPr>
          <w:rFonts w:ascii="Georgia" w:hAnsi="Georgia"/>
          <w:sz w:val="22"/>
          <w:szCs w:val="22"/>
        </w:rPr>
        <w:t xml:space="preserve">Συνολικά το λιανεμπόριο βιολογικών προϊόντων </w:t>
      </w:r>
      <w:r w:rsidR="00340FBA" w:rsidRPr="00A94288">
        <w:rPr>
          <w:rFonts w:ascii="Georgia" w:hAnsi="Georgia"/>
          <w:sz w:val="22"/>
          <w:szCs w:val="22"/>
        </w:rPr>
        <w:t xml:space="preserve">διεξάγεται σε </w:t>
      </w:r>
      <w:r w:rsidRPr="00A94288">
        <w:rPr>
          <w:rFonts w:ascii="Georgia" w:hAnsi="Georgia"/>
          <w:sz w:val="22"/>
          <w:szCs w:val="22"/>
        </w:rPr>
        <w:t xml:space="preserve"> 5</w:t>
      </w:r>
      <w:r w:rsidR="00551786" w:rsidRPr="00A94288">
        <w:rPr>
          <w:rFonts w:ascii="Georgia" w:hAnsi="Georgia"/>
          <w:sz w:val="22"/>
          <w:szCs w:val="22"/>
        </w:rPr>
        <w:t>50</w:t>
      </w:r>
      <w:r w:rsidRPr="00A94288">
        <w:rPr>
          <w:rFonts w:ascii="Georgia" w:hAnsi="Georgia"/>
          <w:sz w:val="22"/>
          <w:szCs w:val="22"/>
        </w:rPr>
        <w:t>.000 τ</w:t>
      </w:r>
      <w:r w:rsidR="00340FBA" w:rsidRPr="00A94288">
        <w:rPr>
          <w:rFonts w:ascii="Georgia" w:hAnsi="Georgia"/>
          <w:sz w:val="22"/>
          <w:szCs w:val="22"/>
        </w:rPr>
        <w:t>.</w:t>
      </w:r>
      <w:r w:rsidRPr="00A94288">
        <w:rPr>
          <w:rFonts w:ascii="Georgia" w:hAnsi="Georgia"/>
          <w:sz w:val="22"/>
          <w:szCs w:val="22"/>
        </w:rPr>
        <w:t>μ</w:t>
      </w:r>
      <w:r w:rsidR="00237EE7" w:rsidRPr="00A94288">
        <w:rPr>
          <w:rFonts w:ascii="Georgia" w:hAnsi="Georgia"/>
          <w:sz w:val="22"/>
          <w:szCs w:val="22"/>
        </w:rPr>
        <w:t>.</w:t>
      </w:r>
    </w:p>
    <w:p w:rsidR="00340FBA" w:rsidRPr="00A94288" w:rsidRDefault="00340FBA" w:rsidP="00147977">
      <w:pPr>
        <w:rPr>
          <w:rFonts w:ascii="Georgia" w:hAnsi="Georgia"/>
          <w:sz w:val="22"/>
          <w:szCs w:val="22"/>
        </w:rPr>
      </w:pPr>
    </w:p>
    <w:p w:rsidR="00E96997" w:rsidRPr="00A94288" w:rsidRDefault="001E6168" w:rsidP="00147977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Η </w:t>
      </w:r>
      <w:r w:rsidRPr="00A94288">
        <w:rPr>
          <w:rFonts w:ascii="Georgia" w:hAnsi="Georgia"/>
          <w:b/>
          <w:i/>
          <w:sz w:val="22"/>
          <w:szCs w:val="22"/>
        </w:rPr>
        <w:t>ευρωπαϊκή αγορά βιολογικών προϊόντων</w:t>
      </w:r>
      <w:r w:rsidRPr="00A94288">
        <w:rPr>
          <w:rFonts w:ascii="Georgia" w:hAnsi="Georgia"/>
          <w:sz w:val="22"/>
          <w:szCs w:val="22"/>
        </w:rPr>
        <w:t xml:space="preserve"> το 201</w:t>
      </w:r>
      <w:r w:rsidR="00551786" w:rsidRPr="00A94288">
        <w:rPr>
          <w:rFonts w:ascii="Georgia" w:hAnsi="Georgia"/>
          <w:sz w:val="22"/>
          <w:szCs w:val="22"/>
        </w:rPr>
        <w:t>4</w:t>
      </w:r>
      <w:r w:rsidR="00E96997" w:rsidRPr="00A94288">
        <w:rPr>
          <w:rFonts w:ascii="Georgia" w:hAnsi="Georgia"/>
          <w:sz w:val="22"/>
          <w:szCs w:val="22"/>
        </w:rPr>
        <w:t xml:space="preserve"> αυξήθηκε κατά </w:t>
      </w:r>
      <w:r w:rsidR="00551786" w:rsidRPr="00A94288">
        <w:rPr>
          <w:rFonts w:ascii="Georgia" w:hAnsi="Georgia"/>
          <w:sz w:val="22"/>
          <w:szCs w:val="22"/>
        </w:rPr>
        <w:t>8</w:t>
      </w:r>
      <w:r w:rsidRPr="00A94288">
        <w:rPr>
          <w:rFonts w:ascii="Georgia" w:hAnsi="Georgia"/>
          <w:sz w:val="22"/>
          <w:szCs w:val="22"/>
        </w:rPr>
        <w:t>% και</w:t>
      </w:r>
      <w:r w:rsidR="00E96997" w:rsidRPr="00A94288">
        <w:rPr>
          <w:rFonts w:ascii="Georgia" w:hAnsi="Georgia"/>
          <w:sz w:val="22"/>
          <w:szCs w:val="22"/>
        </w:rPr>
        <w:t xml:space="preserve"> εκτιμάται ότι</w:t>
      </w:r>
      <w:r w:rsidRPr="00A94288">
        <w:rPr>
          <w:rFonts w:ascii="Georgia" w:hAnsi="Georgia"/>
          <w:sz w:val="22"/>
          <w:szCs w:val="22"/>
        </w:rPr>
        <w:t xml:space="preserve"> διαμορφώθηκε σε </w:t>
      </w:r>
      <w:r w:rsidR="00E96997" w:rsidRPr="00A94288">
        <w:rPr>
          <w:rFonts w:ascii="Georgia" w:hAnsi="Georgia"/>
          <w:sz w:val="22"/>
          <w:szCs w:val="22"/>
        </w:rPr>
        <w:t>2</w:t>
      </w:r>
      <w:r w:rsidR="00551786" w:rsidRPr="00A94288">
        <w:rPr>
          <w:rFonts w:ascii="Georgia" w:hAnsi="Georgia"/>
          <w:sz w:val="22"/>
          <w:szCs w:val="22"/>
        </w:rPr>
        <w:t>6,1</w:t>
      </w:r>
      <w:r w:rsidRPr="00A94288">
        <w:rPr>
          <w:rFonts w:ascii="Georgia" w:hAnsi="Georgia"/>
          <w:sz w:val="22"/>
          <w:szCs w:val="22"/>
        </w:rPr>
        <w:t xml:space="preserve"> δις ευρώ</w:t>
      </w:r>
      <w:r w:rsidR="00444EC9" w:rsidRPr="00A94288">
        <w:rPr>
          <w:rFonts w:ascii="Georgia" w:hAnsi="Georgia"/>
          <w:sz w:val="22"/>
          <w:szCs w:val="22"/>
        </w:rPr>
        <w:t>, εκ των οποίων τα 2</w:t>
      </w:r>
      <w:r w:rsidR="00551786" w:rsidRPr="00A94288">
        <w:rPr>
          <w:rFonts w:ascii="Georgia" w:hAnsi="Georgia"/>
          <w:sz w:val="22"/>
          <w:szCs w:val="22"/>
        </w:rPr>
        <w:t>3,9</w:t>
      </w:r>
      <w:r w:rsidR="00444EC9" w:rsidRPr="00A94288">
        <w:rPr>
          <w:rFonts w:ascii="Georgia" w:hAnsi="Georgia"/>
          <w:sz w:val="22"/>
          <w:szCs w:val="22"/>
        </w:rPr>
        <w:t xml:space="preserve"> δις ευρώ προήλθαν από την ΕΕ-28</w:t>
      </w:r>
      <w:r w:rsidRPr="00A94288">
        <w:rPr>
          <w:rFonts w:ascii="Georgia" w:hAnsi="Georgia"/>
          <w:sz w:val="22"/>
          <w:szCs w:val="22"/>
        </w:rPr>
        <w:t xml:space="preserve">. Η Γερμανία </w:t>
      </w:r>
      <w:r w:rsidR="00B86699" w:rsidRPr="00A94288">
        <w:rPr>
          <w:rFonts w:ascii="Georgia" w:hAnsi="Georgia"/>
          <w:sz w:val="22"/>
          <w:szCs w:val="22"/>
        </w:rPr>
        <w:t xml:space="preserve">ήταν </w:t>
      </w:r>
      <w:r w:rsidRPr="00A94288">
        <w:rPr>
          <w:rFonts w:ascii="Georgia" w:hAnsi="Georgia"/>
          <w:sz w:val="22"/>
          <w:szCs w:val="22"/>
        </w:rPr>
        <w:t>η αγορά με τον υψηλότερο κύκλο πωλήσεων</w:t>
      </w:r>
      <w:r w:rsidR="00BA2498" w:rsidRPr="00A94288">
        <w:rPr>
          <w:rFonts w:ascii="Georgia" w:hAnsi="Georgia"/>
          <w:sz w:val="22"/>
          <w:szCs w:val="22"/>
        </w:rPr>
        <w:t xml:space="preserve"> </w:t>
      </w:r>
      <w:r w:rsidRPr="00A94288">
        <w:rPr>
          <w:rFonts w:ascii="Georgia" w:hAnsi="Georgia"/>
          <w:sz w:val="22"/>
          <w:szCs w:val="22"/>
        </w:rPr>
        <w:t>(</w:t>
      </w:r>
      <w:r w:rsidR="00B86699" w:rsidRPr="00A94288">
        <w:rPr>
          <w:rFonts w:ascii="Georgia" w:hAnsi="Georgia"/>
          <w:sz w:val="22"/>
          <w:szCs w:val="22"/>
        </w:rPr>
        <w:t>7,</w:t>
      </w:r>
      <w:r w:rsidR="00551786" w:rsidRPr="00A94288">
        <w:rPr>
          <w:rFonts w:ascii="Georgia" w:hAnsi="Georgia"/>
          <w:sz w:val="22"/>
          <w:szCs w:val="22"/>
        </w:rPr>
        <w:t>91</w:t>
      </w:r>
      <w:r w:rsidRPr="00A94288">
        <w:rPr>
          <w:rFonts w:ascii="Georgia" w:hAnsi="Georgia"/>
          <w:sz w:val="22"/>
          <w:szCs w:val="22"/>
        </w:rPr>
        <w:t xml:space="preserve"> δις ευρώ) στην Ευρώπη</w:t>
      </w:r>
      <w:r w:rsidR="00F55869" w:rsidRPr="00A94288">
        <w:rPr>
          <w:rFonts w:ascii="Georgia" w:hAnsi="Georgia"/>
          <w:sz w:val="22"/>
          <w:szCs w:val="22"/>
        </w:rPr>
        <w:t xml:space="preserve"> (δεύτερη μεγαλύτερη παγκοσμίως)</w:t>
      </w:r>
      <w:r w:rsidRPr="00A94288">
        <w:rPr>
          <w:rFonts w:ascii="Georgia" w:hAnsi="Georgia"/>
          <w:sz w:val="22"/>
          <w:szCs w:val="22"/>
        </w:rPr>
        <w:t xml:space="preserve"> και ακολο</w:t>
      </w:r>
      <w:r w:rsidR="00551786" w:rsidRPr="00A94288">
        <w:rPr>
          <w:rFonts w:ascii="Georgia" w:hAnsi="Georgia"/>
          <w:sz w:val="22"/>
          <w:szCs w:val="22"/>
        </w:rPr>
        <w:t xml:space="preserve">ύθησε </w:t>
      </w:r>
      <w:r w:rsidRPr="00A94288">
        <w:rPr>
          <w:rFonts w:ascii="Georgia" w:hAnsi="Georgia"/>
          <w:sz w:val="22"/>
          <w:szCs w:val="22"/>
        </w:rPr>
        <w:t>η Γαλλία (</w:t>
      </w:r>
      <w:r w:rsidR="003F3F48" w:rsidRPr="00A94288">
        <w:rPr>
          <w:rFonts w:ascii="Georgia" w:hAnsi="Georgia"/>
          <w:sz w:val="22"/>
          <w:szCs w:val="22"/>
        </w:rPr>
        <w:t>4,8</w:t>
      </w:r>
      <w:r w:rsidR="00551786" w:rsidRPr="00A94288">
        <w:rPr>
          <w:rFonts w:ascii="Georgia" w:hAnsi="Georgia"/>
          <w:sz w:val="22"/>
          <w:szCs w:val="22"/>
        </w:rPr>
        <w:t>3</w:t>
      </w:r>
      <w:r w:rsidRPr="00A94288">
        <w:rPr>
          <w:rFonts w:ascii="Georgia" w:hAnsi="Georgia"/>
          <w:sz w:val="22"/>
          <w:szCs w:val="22"/>
        </w:rPr>
        <w:t xml:space="preserve"> δις ευρώ) και το Ηνωμένο Βασίλειο (</w:t>
      </w:r>
      <w:r w:rsidR="003F3F48" w:rsidRPr="00A94288">
        <w:rPr>
          <w:rFonts w:ascii="Georgia" w:hAnsi="Georgia"/>
          <w:sz w:val="22"/>
          <w:szCs w:val="22"/>
        </w:rPr>
        <w:t>2,</w:t>
      </w:r>
      <w:r w:rsidR="00551786" w:rsidRPr="00A94288">
        <w:rPr>
          <w:rFonts w:ascii="Georgia" w:hAnsi="Georgia"/>
          <w:sz w:val="22"/>
          <w:szCs w:val="22"/>
        </w:rPr>
        <w:t>3</w:t>
      </w:r>
      <w:r w:rsidRPr="00A94288">
        <w:rPr>
          <w:rFonts w:ascii="Georgia" w:hAnsi="Georgia"/>
          <w:sz w:val="22"/>
          <w:szCs w:val="22"/>
        </w:rPr>
        <w:t xml:space="preserve"> δις ευρώ).  </w:t>
      </w:r>
      <w:r w:rsidR="00CA387D" w:rsidRPr="00A94288">
        <w:rPr>
          <w:rFonts w:ascii="Georgia" w:hAnsi="Georgia"/>
          <w:sz w:val="22"/>
          <w:szCs w:val="22"/>
        </w:rPr>
        <w:t>Στις Η</w:t>
      </w:r>
      <w:r w:rsidR="00BA2498" w:rsidRPr="00A94288">
        <w:rPr>
          <w:rFonts w:ascii="Georgia" w:hAnsi="Georgia"/>
          <w:sz w:val="22"/>
          <w:szCs w:val="22"/>
        </w:rPr>
        <w:t>.</w:t>
      </w:r>
      <w:r w:rsidR="00CA387D" w:rsidRPr="00A94288">
        <w:rPr>
          <w:rFonts w:ascii="Georgia" w:hAnsi="Georgia"/>
          <w:sz w:val="22"/>
          <w:szCs w:val="22"/>
        </w:rPr>
        <w:t>Π</w:t>
      </w:r>
      <w:r w:rsidR="00BA2498" w:rsidRPr="00A94288">
        <w:rPr>
          <w:rFonts w:ascii="Georgia" w:hAnsi="Georgia"/>
          <w:sz w:val="22"/>
          <w:szCs w:val="22"/>
        </w:rPr>
        <w:t>.</w:t>
      </w:r>
      <w:r w:rsidR="00CA387D" w:rsidRPr="00A94288">
        <w:rPr>
          <w:rFonts w:ascii="Georgia" w:hAnsi="Georgia"/>
          <w:sz w:val="22"/>
          <w:szCs w:val="22"/>
        </w:rPr>
        <w:t>Α</w:t>
      </w:r>
      <w:r w:rsidR="00BA2498" w:rsidRPr="00A94288">
        <w:rPr>
          <w:rFonts w:ascii="Georgia" w:hAnsi="Georgia"/>
          <w:sz w:val="22"/>
          <w:szCs w:val="22"/>
        </w:rPr>
        <w:t>.</w:t>
      </w:r>
      <w:r w:rsidR="00CA387D" w:rsidRPr="00A94288">
        <w:rPr>
          <w:rFonts w:ascii="Georgia" w:hAnsi="Georgia"/>
          <w:sz w:val="22"/>
          <w:szCs w:val="22"/>
        </w:rPr>
        <w:t xml:space="preserve"> ο κύκλος πωλήσεων ανήλθε σε </w:t>
      </w:r>
      <w:r w:rsidR="00E96997" w:rsidRPr="00A94288">
        <w:rPr>
          <w:rFonts w:ascii="Georgia" w:hAnsi="Georgia"/>
          <w:sz w:val="22"/>
          <w:szCs w:val="22"/>
        </w:rPr>
        <w:t>2</w:t>
      </w:r>
      <w:r w:rsidR="00551786" w:rsidRPr="00A94288">
        <w:rPr>
          <w:rFonts w:ascii="Georgia" w:hAnsi="Georgia"/>
          <w:sz w:val="22"/>
          <w:szCs w:val="22"/>
        </w:rPr>
        <w:t>7</w:t>
      </w:r>
      <w:r w:rsidR="00CA387D" w:rsidRPr="00A94288">
        <w:rPr>
          <w:rFonts w:ascii="Georgia" w:hAnsi="Georgia"/>
          <w:sz w:val="22"/>
          <w:szCs w:val="22"/>
        </w:rPr>
        <w:t xml:space="preserve"> δις ευρώ</w:t>
      </w:r>
      <w:r w:rsidR="00E96997" w:rsidRPr="00A94288">
        <w:rPr>
          <w:rFonts w:ascii="Georgia" w:hAnsi="Georgia"/>
          <w:sz w:val="22"/>
          <w:szCs w:val="22"/>
        </w:rPr>
        <w:t xml:space="preserve">. Στην Ελλάδα </w:t>
      </w:r>
      <w:r w:rsidR="003F3F48" w:rsidRPr="00A94288">
        <w:rPr>
          <w:rFonts w:ascii="Georgia" w:hAnsi="Georgia"/>
          <w:sz w:val="22"/>
          <w:szCs w:val="22"/>
        </w:rPr>
        <w:t>ο κύκλος πωλήσεων εκτιμάται σε 60</w:t>
      </w:r>
      <w:r w:rsidR="00E96997" w:rsidRPr="00A94288">
        <w:rPr>
          <w:rFonts w:ascii="Georgia" w:hAnsi="Georgia"/>
          <w:sz w:val="22"/>
          <w:szCs w:val="22"/>
        </w:rPr>
        <w:t xml:space="preserve"> εκ. ευρώ (στοιχεία 20</w:t>
      </w:r>
      <w:r w:rsidR="003F3F48" w:rsidRPr="00A94288">
        <w:rPr>
          <w:rFonts w:ascii="Georgia" w:hAnsi="Georgia"/>
          <w:sz w:val="22"/>
          <w:szCs w:val="22"/>
        </w:rPr>
        <w:t>10</w:t>
      </w:r>
      <w:r w:rsidR="00E96997" w:rsidRPr="00A94288">
        <w:rPr>
          <w:rFonts w:ascii="Georgia" w:hAnsi="Georgia"/>
          <w:sz w:val="22"/>
          <w:szCs w:val="22"/>
        </w:rPr>
        <w:t>).</w:t>
      </w:r>
    </w:p>
    <w:p w:rsidR="00497C82" w:rsidRPr="00A94288" w:rsidRDefault="00497C82" w:rsidP="00147977">
      <w:pPr>
        <w:rPr>
          <w:rFonts w:ascii="Georgia" w:hAnsi="Georgia"/>
          <w:sz w:val="22"/>
          <w:szCs w:val="22"/>
        </w:rPr>
      </w:pPr>
    </w:p>
    <w:p w:rsidR="00497C82" w:rsidRPr="00A94288" w:rsidRDefault="00497C82" w:rsidP="00147977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Σε παγκόσμιο επίπεδο η μεγαλύτερη αγορά βιολογικών προϊόντων </w:t>
      </w:r>
      <w:r w:rsidR="00FD32C8" w:rsidRPr="00A94288">
        <w:rPr>
          <w:rFonts w:ascii="Georgia" w:hAnsi="Georgia"/>
          <w:sz w:val="22"/>
          <w:szCs w:val="22"/>
        </w:rPr>
        <w:t>ήταν</w:t>
      </w:r>
      <w:r w:rsidRPr="00A94288">
        <w:rPr>
          <w:rFonts w:ascii="Georgia" w:hAnsi="Georgia"/>
          <w:sz w:val="22"/>
          <w:szCs w:val="22"/>
        </w:rPr>
        <w:t xml:space="preserve"> οι ΗΠΑ, ακολουθούμενες απ</w:t>
      </w:r>
      <w:r w:rsidR="00FD32C8" w:rsidRPr="00A94288">
        <w:rPr>
          <w:rFonts w:ascii="Georgia" w:hAnsi="Georgia"/>
          <w:sz w:val="22"/>
          <w:szCs w:val="22"/>
        </w:rPr>
        <w:t>ό τη Γερμανία, Γαλλί</w:t>
      </w:r>
      <w:r w:rsidR="00551786" w:rsidRPr="00A94288">
        <w:rPr>
          <w:rFonts w:ascii="Georgia" w:hAnsi="Georgia"/>
          <w:sz w:val="22"/>
          <w:szCs w:val="22"/>
        </w:rPr>
        <w:t>α και Κίνα (2,43 δις για το 2013</w:t>
      </w:r>
      <w:r w:rsidR="00FD32C8" w:rsidRPr="00A94288">
        <w:rPr>
          <w:rFonts w:ascii="Georgia" w:hAnsi="Georgia"/>
          <w:sz w:val="22"/>
          <w:szCs w:val="22"/>
        </w:rPr>
        <w:t>).</w:t>
      </w:r>
    </w:p>
    <w:p w:rsidR="006606E3" w:rsidRPr="00A94288" w:rsidRDefault="006606E3" w:rsidP="00147977">
      <w:pPr>
        <w:rPr>
          <w:rFonts w:ascii="Georgia" w:hAnsi="Georgia"/>
          <w:sz w:val="22"/>
          <w:szCs w:val="22"/>
        </w:rPr>
      </w:pPr>
    </w:p>
    <w:p w:rsidR="00FD32C8" w:rsidRPr="00A94288" w:rsidRDefault="00FD32C8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Σε έρευνα που πραγματοποιήθηκε το 2014 με σκοπό τη σύγκριση του κόστους διατροφής με βιολογικά προϊόντα έναντι του κόστους διατροφής με </w:t>
      </w:r>
      <w:r w:rsidR="00340FBA" w:rsidRPr="00A94288">
        <w:rPr>
          <w:rFonts w:ascii="Georgia" w:hAnsi="Georgia"/>
          <w:sz w:val="22"/>
          <w:szCs w:val="22"/>
        </w:rPr>
        <w:t>συμβατικά</w:t>
      </w:r>
      <w:r w:rsidRPr="00A94288">
        <w:rPr>
          <w:rFonts w:ascii="Georgia" w:hAnsi="Georgia"/>
          <w:sz w:val="22"/>
          <w:szCs w:val="22"/>
        </w:rPr>
        <w:t xml:space="preserve"> προϊόντα, δεδομένου ότι ο μέσος Γερμανός τρέφεται με μεγάλες ποσότητες κρέατος, προέκυψε ότι ο καταναλωτής τροφίμων βιολογικής προέλευσης πληρώνει 1/3 περισσότερα χρήματα από αυτόν που καταναλώνει συμβατικά προϊόντα. Ο καταναλωτής που τρέφεται υγιεινά (μικρή ποσότητα κρέατος και μόνο βιολογικά) ξοδεύει τελικά τα ίδια με αυτόν που καταναλώνει μεγάλες ποσότητες κρέατος. Η αιτία βρίσκεται στα κρυμμένα κόστη</w:t>
      </w:r>
      <w:r w:rsidR="00340FBA" w:rsidRPr="00A94288">
        <w:rPr>
          <w:rFonts w:ascii="Georgia" w:hAnsi="Georgia"/>
          <w:sz w:val="22"/>
          <w:szCs w:val="22"/>
        </w:rPr>
        <w:t>,</w:t>
      </w:r>
      <w:r w:rsidRPr="00A94288">
        <w:rPr>
          <w:rFonts w:ascii="Georgia" w:hAnsi="Georgia"/>
          <w:sz w:val="22"/>
          <w:szCs w:val="22"/>
        </w:rPr>
        <w:t xml:space="preserve"> τα οποία δεν περιλαμβάνονται στην τιμή των προϊόντων (πχ. κόστος υγείας για ασθένειες προερχόμενες από σίτιση και κόστος μη αειφόρου γεωργικής παραγωγής).</w:t>
      </w:r>
    </w:p>
    <w:p w:rsidR="00FD32C8" w:rsidRPr="00A94288" w:rsidRDefault="00FD32C8" w:rsidP="00EF001E">
      <w:pPr>
        <w:rPr>
          <w:rFonts w:ascii="Georgia" w:hAnsi="Georgia"/>
          <w:sz w:val="22"/>
          <w:szCs w:val="22"/>
        </w:rPr>
      </w:pPr>
    </w:p>
    <w:p w:rsidR="00E362B8" w:rsidRPr="00A94288" w:rsidRDefault="00E362B8" w:rsidP="00E362B8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Το προφίλ των καταναλωτών βιολογικών προϊόντων αφορά σε νεαρά νοικοκυριά με μικρά παιδιά. Σημαντικό ρόλο παίζει και η τιμή, αφού σύμφωνα με έρευνα προέκυψε ότι το 1/3 των συνολικών εξόδων για βιολογικά προϊόντα γίνεται από οικογένειες με υψηλό εισόδημα. </w:t>
      </w:r>
    </w:p>
    <w:p w:rsidR="009E341A" w:rsidRPr="00A94288" w:rsidRDefault="009E341A" w:rsidP="00EF001E">
      <w:pPr>
        <w:rPr>
          <w:rFonts w:ascii="Georgia" w:hAnsi="Georgia"/>
          <w:sz w:val="22"/>
          <w:szCs w:val="22"/>
        </w:rPr>
      </w:pPr>
    </w:p>
    <w:p w:rsidR="00FD32C8" w:rsidRPr="00A94288" w:rsidRDefault="00FD32C8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>Τέλος</w:t>
      </w:r>
      <w:r w:rsidR="009E341A" w:rsidRPr="00A94288">
        <w:rPr>
          <w:rFonts w:ascii="Georgia" w:hAnsi="Georgia"/>
          <w:sz w:val="22"/>
          <w:szCs w:val="22"/>
        </w:rPr>
        <w:t xml:space="preserve"> η </w:t>
      </w:r>
      <w:r w:rsidRPr="00A94288">
        <w:rPr>
          <w:rFonts w:ascii="Georgia" w:hAnsi="Georgia"/>
          <w:sz w:val="22"/>
          <w:szCs w:val="22"/>
        </w:rPr>
        <w:t>έρευνα έδειξε ότι</w:t>
      </w:r>
      <w:r w:rsidR="00E554C7" w:rsidRPr="00A94288">
        <w:rPr>
          <w:rFonts w:ascii="Georgia" w:hAnsi="Georgia"/>
          <w:sz w:val="22"/>
          <w:szCs w:val="22"/>
        </w:rPr>
        <w:t xml:space="preserve"> οι καταναλωτές που ενδιαφέρονται για βιολογικά τρόφιμα προτιμούν την τοπική παραγωγή. Πρόκειται κυρίως για άτομα μεγάλης ηλικίας, γυναίκες, λιγότερο ευαίσθητα στην τιμή του προϊόντος</w:t>
      </w:r>
      <w:r w:rsidR="00340FBA" w:rsidRPr="00A94288">
        <w:rPr>
          <w:rFonts w:ascii="Georgia" w:hAnsi="Georgia"/>
          <w:sz w:val="22"/>
          <w:szCs w:val="22"/>
        </w:rPr>
        <w:t>,</w:t>
      </w:r>
      <w:r w:rsidR="00E554C7" w:rsidRPr="00A94288">
        <w:rPr>
          <w:rFonts w:ascii="Georgia" w:hAnsi="Georgia"/>
          <w:sz w:val="22"/>
          <w:szCs w:val="22"/>
        </w:rPr>
        <w:t xml:space="preserve"> που δεν θεωρούν τα τοπικά παραγόμενα προϊόντα ως ακριβά.</w:t>
      </w:r>
    </w:p>
    <w:p w:rsidR="00FD32C8" w:rsidRPr="00A94288" w:rsidRDefault="00FD32C8" w:rsidP="00EF001E">
      <w:pPr>
        <w:rPr>
          <w:rFonts w:ascii="Georgia" w:hAnsi="Georgia"/>
          <w:sz w:val="22"/>
          <w:szCs w:val="22"/>
        </w:rPr>
      </w:pPr>
    </w:p>
    <w:p w:rsidR="00EF001E" w:rsidRPr="00A94288" w:rsidRDefault="00EF001E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b/>
          <w:i/>
          <w:sz w:val="22"/>
          <w:szCs w:val="22"/>
        </w:rPr>
        <w:t>Συμπερασματικά</w:t>
      </w:r>
      <w:r w:rsidRPr="00A94288">
        <w:rPr>
          <w:rFonts w:ascii="Georgia" w:hAnsi="Georgia"/>
          <w:sz w:val="22"/>
          <w:szCs w:val="22"/>
        </w:rPr>
        <w:t xml:space="preserve"> η αγορά βιολογικών προϊόντων </w:t>
      </w:r>
      <w:r w:rsidR="00DF0412" w:rsidRPr="00A94288">
        <w:rPr>
          <w:rFonts w:ascii="Georgia" w:hAnsi="Georgia"/>
          <w:sz w:val="22"/>
          <w:szCs w:val="22"/>
        </w:rPr>
        <w:t xml:space="preserve">εκτιμάται ότι θα συνεχίσει να </w:t>
      </w:r>
      <w:r w:rsidRPr="00A94288">
        <w:rPr>
          <w:rFonts w:ascii="Georgia" w:hAnsi="Georgia"/>
          <w:sz w:val="22"/>
          <w:szCs w:val="22"/>
        </w:rPr>
        <w:t>αυξάνεται</w:t>
      </w:r>
      <w:r w:rsidR="00CA387D" w:rsidRPr="00A94288">
        <w:rPr>
          <w:rFonts w:ascii="Georgia" w:hAnsi="Georgia"/>
          <w:sz w:val="22"/>
          <w:szCs w:val="22"/>
        </w:rPr>
        <w:t xml:space="preserve"> κυρίως λόγω της ευαισθητοποίησης του Γερμανού καταναλωτή σε θέματα διατροφής και υγείας</w:t>
      </w:r>
      <w:r w:rsidR="00BA2498" w:rsidRPr="00A94288">
        <w:rPr>
          <w:rFonts w:ascii="Georgia" w:hAnsi="Georgia"/>
          <w:sz w:val="22"/>
          <w:szCs w:val="22"/>
        </w:rPr>
        <w:t>, ο οποίος</w:t>
      </w:r>
      <w:r w:rsidRPr="00A94288">
        <w:rPr>
          <w:rFonts w:ascii="Georgia" w:hAnsi="Georgia"/>
          <w:sz w:val="22"/>
          <w:szCs w:val="22"/>
        </w:rPr>
        <w:t xml:space="preserve"> είναι διατεθειμένος, σύμφωνα με έρευνες, να πληρώσει υψηλότερη τιμή, εφόσον πεισθεί για την αυθεντικότητα, την τοπική προέλευση, τη σήμανση του προϊόντος με τ</w:t>
      </w:r>
      <w:r w:rsidRPr="00A94288">
        <w:rPr>
          <w:rFonts w:ascii="Georgia" w:hAnsi="Georgia"/>
          <w:sz w:val="22"/>
          <w:szCs w:val="22"/>
          <w:lang w:val="de-DE"/>
        </w:rPr>
        <w:t>o</w:t>
      </w:r>
      <w:r w:rsidRPr="00A94288">
        <w:rPr>
          <w:rFonts w:ascii="Georgia" w:hAnsi="Georgia"/>
          <w:sz w:val="22"/>
          <w:szCs w:val="22"/>
        </w:rPr>
        <w:t xml:space="preserve"> χαρακτηριστικό </w:t>
      </w:r>
      <w:r w:rsidR="00DF0412" w:rsidRPr="00A94288">
        <w:rPr>
          <w:rFonts w:ascii="Georgia" w:hAnsi="Georgia"/>
          <w:sz w:val="22"/>
          <w:szCs w:val="22"/>
        </w:rPr>
        <w:t>«</w:t>
      </w:r>
      <w:r w:rsidRPr="00A94288">
        <w:rPr>
          <w:rFonts w:ascii="Georgia" w:hAnsi="Georgia"/>
          <w:sz w:val="22"/>
          <w:szCs w:val="22"/>
          <w:lang w:val="de-DE"/>
        </w:rPr>
        <w:t>Fairness</w:t>
      </w:r>
      <w:r w:rsidR="00DF0412" w:rsidRPr="00A94288">
        <w:rPr>
          <w:rFonts w:ascii="Georgia" w:hAnsi="Georgia"/>
          <w:sz w:val="22"/>
          <w:szCs w:val="22"/>
        </w:rPr>
        <w:t>»</w:t>
      </w:r>
      <w:r w:rsidRPr="00A94288">
        <w:rPr>
          <w:rFonts w:ascii="Georgia" w:hAnsi="Georgia"/>
          <w:sz w:val="22"/>
          <w:szCs w:val="22"/>
        </w:rPr>
        <w:t xml:space="preserve">, τη προστασία του περιβάλλοντος, τη φροντισμένη εκτροφή του ζώου, τη γεύση, φρεσκάδα και τη συμβολή του βιολογικού προϊόντος στην υγεία του. </w:t>
      </w:r>
    </w:p>
    <w:p w:rsidR="00E64670" w:rsidRPr="00A94288" w:rsidRDefault="00E64670" w:rsidP="00EF001E">
      <w:pPr>
        <w:rPr>
          <w:rFonts w:ascii="Georgia" w:hAnsi="Georgia"/>
          <w:sz w:val="22"/>
          <w:szCs w:val="22"/>
        </w:rPr>
      </w:pPr>
    </w:p>
    <w:p w:rsidR="0046015D" w:rsidRPr="00A94288" w:rsidRDefault="00E554C7" w:rsidP="00EF001E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 xml:space="preserve">Δεδομένης της αυξητικής τάσης για κατανάλωση βιολογικών προϊόντων στη Γερμανία και του γεγονότος ότι η </w:t>
      </w:r>
      <w:r w:rsidR="00DC2619" w:rsidRPr="00A94288">
        <w:rPr>
          <w:rFonts w:ascii="Georgia" w:hAnsi="Georgia"/>
          <w:sz w:val="22"/>
          <w:szCs w:val="22"/>
        </w:rPr>
        <w:t xml:space="preserve">ζήτηση αυξάνει </w:t>
      </w:r>
      <w:r w:rsidR="00F55869" w:rsidRPr="00A94288">
        <w:rPr>
          <w:rFonts w:ascii="Georgia" w:hAnsi="Georgia"/>
          <w:sz w:val="22"/>
          <w:szCs w:val="22"/>
        </w:rPr>
        <w:t>γρηγορότερα</w:t>
      </w:r>
      <w:r w:rsidR="00DC2619" w:rsidRPr="00A94288">
        <w:rPr>
          <w:rFonts w:ascii="Georgia" w:hAnsi="Georgia"/>
          <w:sz w:val="22"/>
          <w:szCs w:val="22"/>
        </w:rPr>
        <w:t xml:space="preserve"> της </w:t>
      </w:r>
      <w:r w:rsidRPr="00A94288">
        <w:rPr>
          <w:rFonts w:ascii="Georgia" w:hAnsi="Georgia"/>
          <w:sz w:val="22"/>
          <w:szCs w:val="22"/>
        </w:rPr>
        <w:t>προφορά</w:t>
      </w:r>
      <w:r w:rsidR="00DC2619" w:rsidRPr="00A94288">
        <w:rPr>
          <w:rFonts w:ascii="Georgia" w:hAnsi="Georgia"/>
          <w:sz w:val="22"/>
          <w:szCs w:val="22"/>
        </w:rPr>
        <w:t>ς</w:t>
      </w:r>
      <w:r w:rsidRPr="00A94288">
        <w:rPr>
          <w:rFonts w:ascii="Georgia" w:hAnsi="Georgia"/>
          <w:sz w:val="22"/>
          <w:szCs w:val="22"/>
        </w:rPr>
        <w:t xml:space="preserve"> ο κλάδος εμφανίζει ευκαιρίες για την Ελλάδα στη βάση ενός οργανωμένου σχεδίου υποστήριξης των ελληνικών εξαγωγών βιολογικών προϊόντων.</w:t>
      </w:r>
    </w:p>
    <w:p w:rsidR="00E554C7" w:rsidRPr="00A94288" w:rsidRDefault="00E554C7" w:rsidP="00EF001E">
      <w:pPr>
        <w:rPr>
          <w:rFonts w:ascii="Georgia" w:hAnsi="Georgia"/>
          <w:sz w:val="22"/>
          <w:szCs w:val="22"/>
        </w:rPr>
      </w:pPr>
    </w:p>
    <w:p w:rsidR="00E554C7" w:rsidRPr="00A94288" w:rsidRDefault="00E554C7" w:rsidP="00EF001E">
      <w:pPr>
        <w:rPr>
          <w:rFonts w:ascii="Georgia" w:hAnsi="Georgia"/>
          <w:sz w:val="22"/>
          <w:szCs w:val="22"/>
        </w:rPr>
      </w:pPr>
    </w:p>
    <w:p w:rsidR="00C06169" w:rsidRPr="00A94288" w:rsidRDefault="00C06169" w:rsidP="00043169"/>
    <w:p w:rsidR="00043169" w:rsidRPr="00A94288" w:rsidRDefault="00043169" w:rsidP="00043169">
      <w:pPr>
        <w:rPr>
          <w:rFonts w:ascii="Georgia" w:hAnsi="Georgia"/>
          <w:sz w:val="22"/>
          <w:szCs w:val="22"/>
        </w:rPr>
      </w:pPr>
      <w:r w:rsidRPr="00A94288">
        <w:rPr>
          <w:rFonts w:ascii="Georgia" w:hAnsi="Georgia"/>
          <w:sz w:val="22"/>
          <w:szCs w:val="22"/>
        </w:rPr>
        <w:t>Χριστίνα Στεφανίδου</w:t>
      </w:r>
    </w:p>
    <w:p w:rsidR="00043169" w:rsidRDefault="0046015D" w:rsidP="00043169">
      <w:pPr>
        <w:rPr>
          <w:rFonts w:ascii="Georgia" w:hAnsi="Georgia"/>
          <w:sz w:val="22"/>
          <w:szCs w:val="22"/>
          <w:lang w:val="de-DE"/>
        </w:rPr>
      </w:pPr>
      <w:r w:rsidRPr="00A94288">
        <w:rPr>
          <w:rFonts w:ascii="Georgia" w:hAnsi="Georgia"/>
          <w:sz w:val="22"/>
          <w:szCs w:val="22"/>
        </w:rPr>
        <w:t>Σύμβουλος Ο</w:t>
      </w:r>
      <w:r w:rsidR="009249F8" w:rsidRPr="00A94288">
        <w:rPr>
          <w:rFonts w:ascii="Georgia" w:hAnsi="Georgia"/>
          <w:sz w:val="22"/>
          <w:szCs w:val="22"/>
          <w:lang w:val="de-DE"/>
        </w:rPr>
        <w:t>E</w:t>
      </w:r>
      <w:r w:rsidRPr="00A94288">
        <w:rPr>
          <w:rFonts w:ascii="Georgia" w:hAnsi="Georgia"/>
          <w:sz w:val="22"/>
          <w:szCs w:val="22"/>
        </w:rPr>
        <w:t>Υ Α</w:t>
      </w:r>
      <w:r w:rsidR="00043169" w:rsidRPr="00A94288">
        <w:rPr>
          <w:rFonts w:ascii="Georgia" w:hAnsi="Georgia"/>
          <w:sz w:val="22"/>
          <w:szCs w:val="22"/>
        </w:rPr>
        <w:t>’</w:t>
      </w:r>
    </w:p>
    <w:p w:rsidR="00824DDE" w:rsidRDefault="00824DDE" w:rsidP="00043169">
      <w:pPr>
        <w:rPr>
          <w:rFonts w:ascii="Georgia" w:hAnsi="Georgia"/>
          <w:sz w:val="22"/>
          <w:szCs w:val="22"/>
          <w:lang w:val="de-DE"/>
        </w:rPr>
      </w:pPr>
    </w:p>
    <w:p w:rsidR="008B4064" w:rsidRPr="00824DDE" w:rsidRDefault="008B4064" w:rsidP="00043169">
      <w:pPr>
        <w:rPr>
          <w:rFonts w:ascii="Georgia" w:hAnsi="Georgia"/>
          <w:sz w:val="22"/>
          <w:szCs w:val="22"/>
          <w:lang w:val="de-DE"/>
        </w:rPr>
      </w:pPr>
    </w:p>
    <w:p w:rsidR="0069279B" w:rsidRPr="0069279B" w:rsidRDefault="0069279B">
      <w:pPr>
        <w:rPr>
          <w:rFonts w:ascii="Georgia" w:hAnsi="Georgia"/>
          <w:sz w:val="22"/>
          <w:szCs w:val="22"/>
        </w:rPr>
      </w:pPr>
    </w:p>
    <w:sectPr w:rsidR="0069279B" w:rsidRPr="0069279B" w:rsidSect="008F56C6">
      <w:headerReference w:type="default" r:id="rId9"/>
      <w:footerReference w:type="default" r:id="rId10"/>
      <w:pgSz w:w="11906" w:h="16838" w:code="9"/>
      <w:pgMar w:top="1418" w:right="1361" w:bottom="1247" w:left="1361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65" w:rsidRDefault="00185865">
      <w:r>
        <w:separator/>
      </w:r>
    </w:p>
  </w:endnote>
  <w:endnote w:type="continuationSeparator" w:id="0">
    <w:p w:rsidR="00185865" w:rsidRDefault="0018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78" w:rsidRDefault="00BB3F78" w:rsidP="00B836B0">
    <w:pPr>
      <w:pStyle w:val="Fuzeile"/>
      <w:ind w:right="-799"/>
      <w:rPr>
        <w:rStyle w:val="Seitenzahl"/>
        <w:rFonts w:ascii="Times New Roman" w:hAnsi="Times New Roman" w:cs="Times New Roman"/>
        <w:i/>
        <w:sz w:val="14"/>
        <w:szCs w:val="14"/>
      </w:rPr>
    </w:pPr>
  </w:p>
  <w:p w:rsidR="00BB3F78" w:rsidRPr="00D65C3B" w:rsidRDefault="00BB3F78" w:rsidP="00C06169">
    <w:pPr>
      <w:pStyle w:val="Fuzeile"/>
      <w:pBdr>
        <w:top w:val="single" w:sz="4" w:space="1" w:color="auto"/>
      </w:pBdr>
      <w:ind w:right="-799"/>
      <w:rPr>
        <w:rFonts w:ascii="Georgia" w:hAnsi="Georgia"/>
        <w:sz w:val="16"/>
        <w:szCs w:val="16"/>
        <w:lang w:val="de-DE"/>
      </w:rPr>
    </w:pPr>
    <w:r w:rsidRPr="00D65C3B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XS - </w: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begin"/>
    </w:r>
    <w:r w:rsidRPr="00D65C3B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FILENAME  \p  \* MERGEFORMAT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separate"/>
    </w:r>
    <w:r w:rsidR="00857EA2">
      <w:rPr>
        <w:rStyle w:val="Seitenzahl"/>
        <w:rFonts w:ascii="Georgia" w:hAnsi="Georgia" w:cs="Times New Roman"/>
        <w:i/>
        <w:noProof/>
        <w:sz w:val="16"/>
        <w:szCs w:val="16"/>
        <w:lang w:val="de-DE"/>
      </w:rPr>
      <w:t>C:\1arxeio OEY\Markt Reports\Trofima\Bioprodukte\biomarkt2015.docx</w: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end"/>
    </w:r>
    <w:r w:rsidRPr="00D65C3B">
      <w:rPr>
        <w:rStyle w:val="Seitenzahl"/>
        <w:rFonts w:ascii="Georgia" w:hAnsi="Georgia" w:cs="Times New Roman"/>
        <w:i/>
        <w:sz w:val="16"/>
        <w:szCs w:val="16"/>
        <w:lang w:val="de-DE"/>
      </w:rPr>
      <w:tab/>
    </w:r>
    <w:r w:rsidRPr="00D65C3B">
      <w:rPr>
        <w:rStyle w:val="Seitenzahl"/>
        <w:rFonts w:ascii="Georgia" w:hAnsi="Georgia" w:cs="Times New Roman"/>
        <w:i/>
        <w:sz w:val="16"/>
        <w:szCs w:val="16"/>
        <w:lang w:val="de-DE"/>
      </w:rPr>
      <w:tab/>
    </w:r>
    <w:r w:rsidRPr="00637BB0">
      <w:rPr>
        <w:rStyle w:val="Seitenzahl"/>
        <w:rFonts w:ascii="Georgia" w:hAnsi="Georgia" w:cs="Times New Roman"/>
        <w:i/>
        <w:sz w:val="16"/>
        <w:szCs w:val="16"/>
      </w:rPr>
      <w:t>Σελ</w:t>
    </w:r>
    <w:r w:rsidRPr="00D65C3B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: </w:t>
    </w:r>
    <w:r w:rsidRPr="00637BB0">
      <w:rPr>
        <w:rStyle w:val="Seitenzahl"/>
        <w:rFonts w:ascii="Georgia" w:hAnsi="Georgia"/>
        <w:sz w:val="16"/>
        <w:szCs w:val="16"/>
      </w:rPr>
      <w:fldChar w:fldCharType="begin"/>
    </w:r>
    <w:r w:rsidRPr="00D65C3B">
      <w:rPr>
        <w:rStyle w:val="Seitenzahl"/>
        <w:rFonts w:ascii="Georgia" w:hAnsi="Georgia"/>
        <w:sz w:val="16"/>
        <w:szCs w:val="16"/>
        <w:lang w:val="de-DE"/>
      </w:rPr>
      <w:instrText xml:space="preserve"> PAGE </w:instrText>
    </w:r>
    <w:r w:rsidRPr="00637BB0">
      <w:rPr>
        <w:rStyle w:val="Seitenzahl"/>
        <w:rFonts w:ascii="Georgia" w:hAnsi="Georgia"/>
        <w:sz w:val="16"/>
        <w:szCs w:val="16"/>
      </w:rPr>
      <w:fldChar w:fldCharType="separate"/>
    </w:r>
    <w:r w:rsidR="008F56C6">
      <w:rPr>
        <w:rStyle w:val="Seitenzahl"/>
        <w:rFonts w:ascii="Georgia" w:hAnsi="Georgia"/>
        <w:noProof/>
        <w:sz w:val="16"/>
        <w:szCs w:val="16"/>
        <w:lang w:val="de-DE"/>
      </w:rPr>
      <w:t>3</w:t>
    </w:r>
    <w:r w:rsidRPr="00637BB0">
      <w:rPr>
        <w:rStyle w:val="Seitenzahl"/>
        <w:rFonts w:ascii="Georgia" w:hAnsi="Georgia"/>
        <w:sz w:val="16"/>
        <w:szCs w:val="16"/>
      </w:rPr>
      <w:fldChar w:fldCharType="end"/>
    </w:r>
    <w:r w:rsidRPr="00D65C3B">
      <w:rPr>
        <w:rStyle w:val="Seitenzahl"/>
        <w:rFonts w:ascii="Georgia" w:hAnsi="Georgia"/>
        <w:sz w:val="16"/>
        <w:szCs w:val="16"/>
        <w:lang w:val="de-DE"/>
      </w:rPr>
      <w:t xml:space="preserve"> </w:t>
    </w:r>
    <w:r w:rsidRPr="008C3564">
      <w:rPr>
        <w:rStyle w:val="Seitenzahl"/>
        <w:rFonts w:ascii="Georgia" w:hAnsi="Georgia"/>
        <w:sz w:val="16"/>
        <w:szCs w:val="16"/>
      </w:rPr>
      <w:t>απ</w:t>
    </w:r>
    <w:r w:rsidRPr="00637BB0">
      <w:rPr>
        <w:rStyle w:val="Seitenzahl"/>
        <w:rFonts w:ascii="Georgia" w:hAnsi="Georgia"/>
        <w:sz w:val="16"/>
        <w:szCs w:val="16"/>
      </w:rPr>
      <w:t>ό</w:t>
    </w:r>
    <w:r w:rsidRPr="00D65C3B">
      <w:rPr>
        <w:rStyle w:val="Seitenzahl"/>
        <w:rFonts w:ascii="Georgia" w:hAnsi="Georgia"/>
        <w:sz w:val="16"/>
        <w:szCs w:val="16"/>
        <w:lang w:val="de-DE"/>
      </w:rPr>
      <w:t xml:space="preserve"> </w:t>
    </w:r>
    <w:r w:rsidRPr="00637BB0">
      <w:rPr>
        <w:rStyle w:val="Seitenzahl"/>
        <w:rFonts w:ascii="Georgia" w:hAnsi="Georgia"/>
        <w:sz w:val="16"/>
        <w:szCs w:val="16"/>
      </w:rPr>
      <w:fldChar w:fldCharType="begin"/>
    </w:r>
    <w:r w:rsidRPr="00D65C3B">
      <w:rPr>
        <w:rStyle w:val="Seitenzahl"/>
        <w:rFonts w:ascii="Georgia" w:hAnsi="Georgia"/>
        <w:sz w:val="16"/>
        <w:szCs w:val="16"/>
        <w:lang w:val="de-DE"/>
      </w:rPr>
      <w:instrText xml:space="preserve"> NUMPAGES </w:instrText>
    </w:r>
    <w:r w:rsidRPr="00637BB0">
      <w:rPr>
        <w:rStyle w:val="Seitenzahl"/>
        <w:rFonts w:ascii="Georgia" w:hAnsi="Georgia"/>
        <w:sz w:val="16"/>
        <w:szCs w:val="16"/>
      </w:rPr>
      <w:fldChar w:fldCharType="separate"/>
    </w:r>
    <w:r w:rsidR="008F56C6">
      <w:rPr>
        <w:rStyle w:val="Seitenzahl"/>
        <w:rFonts w:ascii="Georgia" w:hAnsi="Georgia"/>
        <w:noProof/>
        <w:sz w:val="16"/>
        <w:szCs w:val="16"/>
        <w:lang w:val="de-DE"/>
      </w:rPr>
      <w:t>3</w:t>
    </w:r>
    <w:r w:rsidRPr="00637BB0">
      <w:rPr>
        <w:rStyle w:val="Seitenzahl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65" w:rsidRDefault="00185865">
      <w:r>
        <w:separator/>
      </w:r>
    </w:p>
  </w:footnote>
  <w:footnote w:type="continuationSeparator" w:id="0">
    <w:p w:rsidR="00185865" w:rsidRDefault="00185865">
      <w:r>
        <w:continuationSeparator/>
      </w:r>
    </w:p>
  </w:footnote>
  <w:footnote w:id="1">
    <w:p w:rsidR="00BB3F78" w:rsidRPr="00BA259B" w:rsidRDefault="00BB3F78">
      <w:pPr>
        <w:pStyle w:val="Funotentext"/>
        <w:rPr>
          <w:sz w:val="16"/>
          <w:szCs w:val="16"/>
        </w:rPr>
      </w:pPr>
      <w:r w:rsidRPr="0097052B">
        <w:rPr>
          <w:rStyle w:val="Funotenzeichen"/>
          <w:sz w:val="16"/>
          <w:szCs w:val="16"/>
        </w:rPr>
        <w:footnoteRef/>
      </w:r>
      <w:r w:rsidRPr="0097052B">
        <w:rPr>
          <w:sz w:val="16"/>
          <w:szCs w:val="16"/>
          <w:lang w:val="de-DE"/>
        </w:rPr>
        <w:t xml:space="preserve"> </w:t>
      </w:r>
      <w:r w:rsidRPr="0097052B">
        <w:rPr>
          <w:sz w:val="16"/>
          <w:szCs w:val="16"/>
        </w:rPr>
        <w:t>Πηγή</w:t>
      </w:r>
      <w:r w:rsidR="00BA259B">
        <w:rPr>
          <w:sz w:val="16"/>
          <w:szCs w:val="16"/>
          <w:lang w:val="de-DE"/>
        </w:rPr>
        <w:t xml:space="preserve"> : www.Bölw</w:t>
      </w:r>
      <w:r w:rsidRPr="0097052B">
        <w:rPr>
          <w:sz w:val="16"/>
          <w:szCs w:val="16"/>
          <w:lang w:val="de-DE"/>
        </w:rPr>
        <w:t>, ökolandbau</w:t>
      </w:r>
      <w:r w:rsidR="00BA259B">
        <w:rPr>
          <w:sz w:val="16"/>
          <w:szCs w:val="16"/>
          <w:lang w:val="de-DE"/>
        </w:rPr>
        <w:t>, 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78" w:rsidRDefault="008B5F0D" w:rsidP="00A41E7B">
    <w:pPr>
      <w:pStyle w:val="Kopfzeile"/>
      <w:jc w:val="center"/>
      <w:rPr>
        <w:rFonts w:ascii="Georgia" w:hAnsi="Georgia"/>
        <w:b/>
        <w:i/>
      </w:rPr>
    </w:pPr>
    <w:r>
      <w:rPr>
        <w:rFonts w:ascii="Georgia" w:hAnsi="Georgia" w:cs="Times New Roman"/>
        <w:noProof/>
        <w:sz w:val="20"/>
        <w:lang w:val="de-DE" w:eastAsia="de-DE"/>
      </w:rPr>
      <w:drawing>
        <wp:inline distT="0" distB="0" distL="0" distR="0" wp14:anchorId="7823AD1E" wp14:editId="0BB54200">
          <wp:extent cx="895350" cy="619125"/>
          <wp:effectExtent l="0" t="0" r="0" b="9525"/>
          <wp:docPr id="1" name="Bild 1" descr="thyre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yre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F78" w:rsidRPr="00A41E7B" w:rsidRDefault="00BB3F78" w:rsidP="00A41E7B">
    <w:pPr>
      <w:pStyle w:val="Kopfzeile"/>
      <w:jc w:val="center"/>
      <w:rPr>
        <w:rFonts w:ascii="Georgia" w:hAnsi="Georgia"/>
        <w:b/>
        <w:i/>
      </w:rPr>
    </w:pPr>
    <w:r w:rsidRPr="00A41E7B">
      <w:rPr>
        <w:rFonts w:ascii="Georgia" w:hAnsi="Georgia"/>
        <w:b/>
        <w:i/>
      </w:rPr>
      <w:t>ΓΕΝΙΚΟ ΠΡΟΞΕΝΕΙΟ ΤΗΣ ΕΛΛΑΔΑΣ ΣΤΟ ΜΟΝΑΧΟ</w:t>
    </w:r>
  </w:p>
  <w:p w:rsidR="00BB3F78" w:rsidRPr="00A41E7B" w:rsidRDefault="00BB3F78" w:rsidP="00C06169">
    <w:pPr>
      <w:pStyle w:val="Kopfzeile"/>
      <w:pBdr>
        <w:bottom w:val="single" w:sz="4" w:space="1" w:color="auto"/>
      </w:pBdr>
      <w:jc w:val="center"/>
      <w:rPr>
        <w:rFonts w:ascii="Georgia" w:hAnsi="Georgia"/>
        <w:b/>
        <w:i/>
      </w:rPr>
    </w:pPr>
    <w:r w:rsidRPr="00A41E7B">
      <w:rPr>
        <w:rFonts w:ascii="Georgia" w:hAnsi="Georgia"/>
        <w:b/>
        <w:i/>
      </w:rPr>
      <w:t>ΓΡΑΦΕΙΟ ΟΙΚΟΝΟΜΙΚΩΝ ΚΑΙ ΕΜΠΟΡΙΚΩΝ ΥΠΟΘΕΣΕΩΝ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6B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F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0A3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8E7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EE02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0B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EEC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509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8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44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12"/>
    <w:rsid w:val="00000582"/>
    <w:rsid w:val="00001A35"/>
    <w:rsid w:val="00001FCC"/>
    <w:rsid w:val="00003699"/>
    <w:rsid w:val="000178F6"/>
    <w:rsid w:val="00043169"/>
    <w:rsid w:val="00062846"/>
    <w:rsid w:val="000654F1"/>
    <w:rsid w:val="00086CC0"/>
    <w:rsid w:val="0009684C"/>
    <w:rsid w:val="000A2907"/>
    <w:rsid w:val="000A5061"/>
    <w:rsid w:val="000B6B9E"/>
    <w:rsid w:val="000B789B"/>
    <w:rsid w:val="000D1419"/>
    <w:rsid w:val="00112102"/>
    <w:rsid w:val="00122D43"/>
    <w:rsid w:val="001263CC"/>
    <w:rsid w:val="00146B7B"/>
    <w:rsid w:val="00147977"/>
    <w:rsid w:val="00173CFE"/>
    <w:rsid w:val="0018183E"/>
    <w:rsid w:val="00181C81"/>
    <w:rsid w:val="00185865"/>
    <w:rsid w:val="00187409"/>
    <w:rsid w:val="001D5727"/>
    <w:rsid w:val="001D5A25"/>
    <w:rsid w:val="001E6168"/>
    <w:rsid w:val="001F2214"/>
    <w:rsid w:val="0020160D"/>
    <w:rsid w:val="00202F4D"/>
    <w:rsid w:val="00217BE7"/>
    <w:rsid w:val="00233E3F"/>
    <w:rsid w:val="00237EE7"/>
    <w:rsid w:val="00245B70"/>
    <w:rsid w:val="00256660"/>
    <w:rsid w:val="0026118C"/>
    <w:rsid w:val="0028148E"/>
    <w:rsid w:val="002B0AE1"/>
    <w:rsid w:val="002D7212"/>
    <w:rsid w:val="003155D8"/>
    <w:rsid w:val="0033650C"/>
    <w:rsid w:val="00340FBA"/>
    <w:rsid w:val="00353846"/>
    <w:rsid w:val="00365EC6"/>
    <w:rsid w:val="0037168E"/>
    <w:rsid w:val="00374865"/>
    <w:rsid w:val="00384E4E"/>
    <w:rsid w:val="0038640E"/>
    <w:rsid w:val="0039080E"/>
    <w:rsid w:val="00392A3B"/>
    <w:rsid w:val="003A11BB"/>
    <w:rsid w:val="003A3FC7"/>
    <w:rsid w:val="003C0331"/>
    <w:rsid w:val="003C1B6B"/>
    <w:rsid w:val="003E59F4"/>
    <w:rsid w:val="003F2D2C"/>
    <w:rsid w:val="003F3F48"/>
    <w:rsid w:val="004007FE"/>
    <w:rsid w:val="00401059"/>
    <w:rsid w:val="00412353"/>
    <w:rsid w:val="00435FF8"/>
    <w:rsid w:val="00437E76"/>
    <w:rsid w:val="00444EC9"/>
    <w:rsid w:val="0046015D"/>
    <w:rsid w:val="00467C4C"/>
    <w:rsid w:val="00475B27"/>
    <w:rsid w:val="00494772"/>
    <w:rsid w:val="004955C5"/>
    <w:rsid w:val="00497C82"/>
    <w:rsid w:val="004A371D"/>
    <w:rsid w:val="004B2238"/>
    <w:rsid w:val="004B5D53"/>
    <w:rsid w:val="004E32ED"/>
    <w:rsid w:val="004E3D6B"/>
    <w:rsid w:val="004E73E5"/>
    <w:rsid w:val="004F07E6"/>
    <w:rsid w:val="004F458C"/>
    <w:rsid w:val="00501308"/>
    <w:rsid w:val="00514D7A"/>
    <w:rsid w:val="00523560"/>
    <w:rsid w:val="00530A94"/>
    <w:rsid w:val="00546287"/>
    <w:rsid w:val="00551786"/>
    <w:rsid w:val="005751D6"/>
    <w:rsid w:val="00576D74"/>
    <w:rsid w:val="005829AA"/>
    <w:rsid w:val="005A32DF"/>
    <w:rsid w:val="005B4CBB"/>
    <w:rsid w:val="00602A09"/>
    <w:rsid w:val="006277B2"/>
    <w:rsid w:val="006334F3"/>
    <w:rsid w:val="00633AB2"/>
    <w:rsid w:val="00637BB0"/>
    <w:rsid w:val="00647CCC"/>
    <w:rsid w:val="00651449"/>
    <w:rsid w:val="006606E3"/>
    <w:rsid w:val="00662A2C"/>
    <w:rsid w:val="00667025"/>
    <w:rsid w:val="006769DC"/>
    <w:rsid w:val="0069279B"/>
    <w:rsid w:val="0069779F"/>
    <w:rsid w:val="006B02AC"/>
    <w:rsid w:val="006C27D7"/>
    <w:rsid w:val="006D77C2"/>
    <w:rsid w:val="0070396E"/>
    <w:rsid w:val="00713567"/>
    <w:rsid w:val="00726BF3"/>
    <w:rsid w:val="007314BE"/>
    <w:rsid w:val="00732DF4"/>
    <w:rsid w:val="0073504B"/>
    <w:rsid w:val="00741F48"/>
    <w:rsid w:val="00763A7E"/>
    <w:rsid w:val="00764699"/>
    <w:rsid w:val="007758D8"/>
    <w:rsid w:val="00790884"/>
    <w:rsid w:val="007B244B"/>
    <w:rsid w:val="007C591D"/>
    <w:rsid w:val="007E0057"/>
    <w:rsid w:val="007F03D3"/>
    <w:rsid w:val="008235FC"/>
    <w:rsid w:val="00824DDE"/>
    <w:rsid w:val="0082644B"/>
    <w:rsid w:val="00830995"/>
    <w:rsid w:val="0083114D"/>
    <w:rsid w:val="008375C6"/>
    <w:rsid w:val="00857EA2"/>
    <w:rsid w:val="00866FAF"/>
    <w:rsid w:val="0087048F"/>
    <w:rsid w:val="00870996"/>
    <w:rsid w:val="008806ED"/>
    <w:rsid w:val="0088122A"/>
    <w:rsid w:val="00882B92"/>
    <w:rsid w:val="00886D78"/>
    <w:rsid w:val="00887366"/>
    <w:rsid w:val="008A0D14"/>
    <w:rsid w:val="008A48EC"/>
    <w:rsid w:val="008A53BF"/>
    <w:rsid w:val="008B4064"/>
    <w:rsid w:val="008B5F0D"/>
    <w:rsid w:val="008B62D8"/>
    <w:rsid w:val="008C3564"/>
    <w:rsid w:val="008D62E7"/>
    <w:rsid w:val="008E0A2F"/>
    <w:rsid w:val="008E55A8"/>
    <w:rsid w:val="008F1F23"/>
    <w:rsid w:val="008F56C6"/>
    <w:rsid w:val="00900C7B"/>
    <w:rsid w:val="00904069"/>
    <w:rsid w:val="009127CE"/>
    <w:rsid w:val="009175C3"/>
    <w:rsid w:val="0092022D"/>
    <w:rsid w:val="009249F8"/>
    <w:rsid w:val="0092790B"/>
    <w:rsid w:val="0093281C"/>
    <w:rsid w:val="00944B7D"/>
    <w:rsid w:val="00945F0E"/>
    <w:rsid w:val="0097052B"/>
    <w:rsid w:val="0099028C"/>
    <w:rsid w:val="009E341A"/>
    <w:rsid w:val="00A14213"/>
    <w:rsid w:val="00A16313"/>
    <w:rsid w:val="00A41E7B"/>
    <w:rsid w:val="00A62FAE"/>
    <w:rsid w:val="00A66AA9"/>
    <w:rsid w:val="00A7076C"/>
    <w:rsid w:val="00A77660"/>
    <w:rsid w:val="00A8188B"/>
    <w:rsid w:val="00A822F2"/>
    <w:rsid w:val="00A9077B"/>
    <w:rsid w:val="00A94288"/>
    <w:rsid w:val="00AC6A2C"/>
    <w:rsid w:val="00AC7DFF"/>
    <w:rsid w:val="00AE00E0"/>
    <w:rsid w:val="00AE6E72"/>
    <w:rsid w:val="00B04B7F"/>
    <w:rsid w:val="00B1068A"/>
    <w:rsid w:val="00B23034"/>
    <w:rsid w:val="00B27B6F"/>
    <w:rsid w:val="00B3080B"/>
    <w:rsid w:val="00B45756"/>
    <w:rsid w:val="00B836B0"/>
    <w:rsid w:val="00B83AFB"/>
    <w:rsid w:val="00B86699"/>
    <w:rsid w:val="00B87352"/>
    <w:rsid w:val="00B911CC"/>
    <w:rsid w:val="00B961F9"/>
    <w:rsid w:val="00BA2498"/>
    <w:rsid w:val="00BA259B"/>
    <w:rsid w:val="00BB2AA0"/>
    <w:rsid w:val="00BB3F78"/>
    <w:rsid w:val="00BE2023"/>
    <w:rsid w:val="00C06169"/>
    <w:rsid w:val="00C07C48"/>
    <w:rsid w:val="00C344A0"/>
    <w:rsid w:val="00C45E28"/>
    <w:rsid w:val="00C63EF8"/>
    <w:rsid w:val="00C646FA"/>
    <w:rsid w:val="00C73879"/>
    <w:rsid w:val="00C8490A"/>
    <w:rsid w:val="00C92EF2"/>
    <w:rsid w:val="00C967DF"/>
    <w:rsid w:val="00CA387D"/>
    <w:rsid w:val="00CA6E41"/>
    <w:rsid w:val="00CB3684"/>
    <w:rsid w:val="00CD035D"/>
    <w:rsid w:val="00CE1B8A"/>
    <w:rsid w:val="00CE6B7D"/>
    <w:rsid w:val="00D079B0"/>
    <w:rsid w:val="00D24F76"/>
    <w:rsid w:val="00D31891"/>
    <w:rsid w:val="00D31F75"/>
    <w:rsid w:val="00D41155"/>
    <w:rsid w:val="00D46393"/>
    <w:rsid w:val="00D6082A"/>
    <w:rsid w:val="00D65C3B"/>
    <w:rsid w:val="00D756CA"/>
    <w:rsid w:val="00D90308"/>
    <w:rsid w:val="00DC0FA4"/>
    <w:rsid w:val="00DC2619"/>
    <w:rsid w:val="00DF0412"/>
    <w:rsid w:val="00DF105B"/>
    <w:rsid w:val="00E240E2"/>
    <w:rsid w:val="00E263EC"/>
    <w:rsid w:val="00E31026"/>
    <w:rsid w:val="00E331FA"/>
    <w:rsid w:val="00E362B8"/>
    <w:rsid w:val="00E42919"/>
    <w:rsid w:val="00E444DA"/>
    <w:rsid w:val="00E4563C"/>
    <w:rsid w:val="00E554C7"/>
    <w:rsid w:val="00E56BBC"/>
    <w:rsid w:val="00E572C8"/>
    <w:rsid w:val="00E645E5"/>
    <w:rsid w:val="00E64670"/>
    <w:rsid w:val="00E708B8"/>
    <w:rsid w:val="00E70A38"/>
    <w:rsid w:val="00E77D46"/>
    <w:rsid w:val="00E851AD"/>
    <w:rsid w:val="00E85F77"/>
    <w:rsid w:val="00E96997"/>
    <w:rsid w:val="00E97E8F"/>
    <w:rsid w:val="00EA766F"/>
    <w:rsid w:val="00EC4940"/>
    <w:rsid w:val="00ED2020"/>
    <w:rsid w:val="00ED7E1D"/>
    <w:rsid w:val="00EF001E"/>
    <w:rsid w:val="00F1313B"/>
    <w:rsid w:val="00F55869"/>
    <w:rsid w:val="00F75A63"/>
    <w:rsid w:val="00FB3328"/>
    <w:rsid w:val="00FC476E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8F6"/>
    <w:rPr>
      <w:rFonts w:ascii="Arial" w:hAnsi="Arial" w:cs="Arial"/>
      <w:bCs/>
      <w:sz w:val="24"/>
      <w:lang w:val="el-GR" w:eastAsia="el-GR"/>
    </w:rPr>
  </w:style>
  <w:style w:type="paragraph" w:styleId="berschrift1">
    <w:name w:val="heading 1"/>
    <w:basedOn w:val="Standard"/>
    <w:next w:val="Standard"/>
    <w:qFormat/>
    <w:rsid w:val="000178F6"/>
    <w:pPr>
      <w:keepNext/>
      <w:autoSpaceDE w:val="0"/>
      <w:autoSpaceDN w:val="0"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F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02F4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02F4D"/>
  </w:style>
  <w:style w:type="table" w:styleId="Tabellenraster">
    <w:name w:val="Table Grid"/>
    <w:basedOn w:val="NormaleTabelle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82A"/>
    <w:rPr>
      <w:color w:val="0000FF"/>
      <w:u w:val="single"/>
    </w:rPr>
  </w:style>
  <w:style w:type="character" w:customStyle="1" w:styleId="object3">
    <w:name w:val="object3"/>
    <w:rsid w:val="00D608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D6082A"/>
    <w:rPr>
      <w:strike w:val="0"/>
      <w:dstrike w:val="0"/>
      <w:color w:val="00008B"/>
      <w:u w:val="none"/>
      <w:effect w:val="none"/>
    </w:rPr>
  </w:style>
  <w:style w:type="character" w:styleId="BesuchterHyperlink">
    <w:name w:val="FollowedHyperlink"/>
    <w:rsid w:val="008F1F23"/>
    <w:rPr>
      <w:color w:val="800080"/>
      <w:u w:val="single"/>
    </w:rPr>
  </w:style>
  <w:style w:type="paragraph" w:styleId="Sprechblasentext">
    <w:name w:val="Balloon Text"/>
    <w:basedOn w:val="Standard"/>
    <w:semiHidden/>
    <w:rsid w:val="00E77D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01A35"/>
    <w:rPr>
      <w:sz w:val="20"/>
    </w:rPr>
  </w:style>
  <w:style w:type="character" w:styleId="Funotenzeichen">
    <w:name w:val="footnote reference"/>
    <w:semiHidden/>
    <w:rsid w:val="00001A35"/>
    <w:rPr>
      <w:vertAlign w:val="superscript"/>
    </w:rPr>
  </w:style>
  <w:style w:type="paragraph" w:styleId="Endnotentext">
    <w:name w:val="endnote text"/>
    <w:basedOn w:val="Standard"/>
    <w:link w:val="EndnotentextZchn"/>
    <w:rsid w:val="00B86699"/>
    <w:rPr>
      <w:sz w:val="20"/>
    </w:rPr>
  </w:style>
  <w:style w:type="character" w:customStyle="1" w:styleId="EndnotentextZchn">
    <w:name w:val="Endnotentext Zchn"/>
    <w:link w:val="Endnotentext"/>
    <w:rsid w:val="00B86699"/>
    <w:rPr>
      <w:rFonts w:ascii="Arial" w:hAnsi="Arial" w:cs="Arial"/>
      <w:bCs/>
      <w:lang w:val="el-GR" w:eastAsia="el-GR"/>
    </w:rPr>
  </w:style>
  <w:style w:type="character" w:styleId="Endnotenzeichen">
    <w:name w:val="endnote reference"/>
    <w:rsid w:val="00B866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8F6"/>
    <w:rPr>
      <w:rFonts w:ascii="Arial" w:hAnsi="Arial" w:cs="Arial"/>
      <w:bCs/>
      <w:sz w:val="24"/>
      <w:lang w:val="el-GR" w:eastAsia="el-GR"/>
    </w:rPr>
  </w:style>
  <w:style w:type="paragraph" w:styleId="berschrift1">
    <w:name w:val="heading 1"/>
    <w:basedOn w:val="Standard"/>
    <w:next w:val="Standard"/>
    <w:qFormat/>
    <w:rsid w:val="000178F6"/>
    <w:pPr>
      <w:keepNext/>
      <w:autoSpaceDE w:val="0"/>
      <w:autoSpaceDN w:val="0"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F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02F4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02F4D"/>
  </w:style>
  <w:style w:type="table" w:styleId="Tabellenraster">
    <w:name w:val="Table Grid"/>
    <w:basedOn w:val="NormaleTabelle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82A"/>
    <w:rPr>
      <w:color w:val="0000FF"/>
      <w:u w:val="single"/>
    </w:rPr>
  </w:style>
  <w:style w:type="character" w:customStyle="1" w:styleId="object3">
    <w:name w:val="object3"/>
    <w:rsid w:val="00D608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D6082A"/>
    <w:rPr>
      <w:strike w:val="0"/>
      <w:dstrike w:val="0"/>
      <w:color w:val="00008B"/>
      <w:u w:val="none"/>
      <w:effect w:val="none"/>
    </w:rPr>
  </w:style>
  <w:style w:type="character" w:styleId="BesuchterHyperlink">
    <w:name w:val="FollowedHyperlink"/>
    <w:rsid w:val="008F1F23"/>
    <w:rPr>
      <w:color w:val="800080"/>
      <w:u w:val="single"/>
    </w:rPr>
  </w:style>
  <w:style w:type="paragraph" w:styleId="Sprechblasentext">
    <w:name w:val="Balloon Text"/>
    <w:basedOn w:val="Standard"/>
    <w:semiHidden/>
    <w:rsid w:val="00E77D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01A35"/>
    <w:rPr>
      <w:sz w:val="20"/>
    </w:rPr>
  </w:style>
  <w:style w:type="character" w:styleId="Funotenzeichen">
    <w:name w:val="footnote reference"/>
    <w:semiHidden/>
    <w:rsid w:val="00001A35"/>
    <w:rPr>
      <w:vertAlign w:val="superscript"/>
    </w:rPr>
  </w:style>
  <w:style w:type="paragraph" w:styleId="Endnotentext">
    <w:name w:val="endnote text"/>
    <w:basedOn w:val="Standard"/>
    <w:link w:val="EndnotentextZchn"/>
    <w:rsid w:val="00B86699"/>
    <w:rPr>
      <w:sz w:val="20"/>
    </w:rPr>
  </w:style>
  <w:style w:type="character" w:customStyle="1" w:styleId="EndnotentextZchn">
    <w:name w:val="Endnotentext Zchn"/>
    <w:link w:val="Endnotentext"/>
    <w:rsid w:val="00B86699"/>
    <w:rPr>
      <w:rFonts w:ascii="Arial" w:hAnsi="Arial" w:cs="Arial"/>
      <w:bCs/>
      <w:lang w:val="el-GR" w:eastAsia="el-GR"/>
    </w:rPr>
  </w:style>
  <w:style w:type="character" w:styleId="Endnotenzeichen">
    <w:name w:val="endnote reference"/>
    <w:rsid w:val="00B86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Desktop\enim-simio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6A0F-63A0-48A8-91CA-0E8CF3C7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enim-simiom</Template>
  <TotalTime>0</TotalTime>
  <Pages>3</Pages>
  <Words>1018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ypex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OEYWin8</cp:lastModifiedBy>
  <cp:revision>13</cp:revision>
  <cp:lastPrinted>2016-02-11T14:19:00Z</cp:lastPrinted>
  <dcterms:created xsi:type="dcterms:W3CDTF">2016-02-11T11:48:00Z</dcterms:created>
  <dcterms:modified xsi:type="dcterms:W3CDTF">2016-03-01T14:23:00Z</dcterms:modified>
</cp:coreProperties>
</file>